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5B4FE1" w:sz="18"/>
              <w:left w:val="single" w:color="C9C3DE" w:sz="4"/>
              <w:bottom w:val="single" w:color="5B4FE1" w:sz="18"/>
              <w:right w:val="single" w:color="C9C3DE" w:sz="4"/>
            </w:tcBorders>
            <w:tcMar>
              <w:top w:type="dxa" w:w="400"/>
              <w:left w:type="dxa" w:w="440"/>
              <w:bottom w:type="dxa" w:w="400"/>
              <w:right w:type="dxa" w:w="440"/>
            </w:tcMar>
          </w:tcPr>
          <w:p>
            <w:pPr>
              <w:spacing w:after="240"/>
            </w:pPr>
            <w:r>
              <w:drawing>
                <wp:inline distT="0" distB="0" distL="0" distR="0">
                  <wp:extent cx="1838325"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38325" cy="428625"/>
                          </a:xfrm>
                          <a:prstGeom prst="rect">
                            <a:avLst/>
                          </a:prstGeom>
                        </pic:spPr>
                      </pic:pic>
                    </a:graphicData>
                  </a:graphic>
                </wp:inline>
              </w:drawing>
            </w:r>
          </w:p>
          <w:p>
            <w:pPr>
              <w:spacing w:after="80" w:line="276"/>
            </w:pPr>
            <w:r>
              <w:rPr>
                <w:rFonts w:ascii="Calibri" w:cs="Calibri" w:eastAsia="Calibri" w:hAnsi="Calibri"/>
                <w:b/>
                <w:bCs/>
                <w:color w:val="5B4FE1"/>
                <w:sz w:val="36"/>
                <w:szCs w:val="36"/>
              </w:rPr>
              <w:t xml:space="preserve">VULNERABILITY DISCLOSURE STATEMENT</w:t>
            </w:r>
          </w:p>
          <w:p>
            <w:pPr>
              <w:spacing w:after="80" w:line="276"/>
            </w:pPr>
            <w:r>
              <w:rPr>
                <w:rFonts w:ascii="Calibri" w:cs="Calibri" w:eastAsia="Calibri" w:hAnsi="Calibri"/>
                <w:b/>
                <w:bCs/>
                <w:color w:val="14121F"/>
                <w:sz w:val="26"/>
                <w:szCs w:val="26"/>
              </w:rPr>
              <w:t xml:space="preserve">eMudhra weak CA keys (CVE-2026-111943, CVE-2026-111944)</w:t>
            </w:r>
          </w:p>
          <w:p>
            <w:pPr>
              <w:spacing w:after="360" w:line="276"/>
            </w:pPr>
            <w:r>
              <w:rPr>
                <w:rFonts w:ascii="Calibri" w:cs="Calibri" w:eastAsia="Calibri" w:hAnsi="Calibri"/>
                <w:color w:val="595959"/>
                <w:sz w:val="21"/>
                <w:szCs w:val="21"/>
              </w:rPr>
              <w:t xml:space="preserve">Completed example on a fictional product. The Vireo CP-7 and Vireo Medical are not real; every figure is illustrative.</w:t>
            </w:r>
          </w:p>
          <w:p>
            <w:pPr>
              <w:spacing w:after="80" w:line="276"/>
            </w:pPr>
            <w:r>
              <w:rPr>
                <w:rFonts w:ascii="Calibri" w:cs="Calibri" w:eastAsia="Calibri" w:hAnsi="Calibri"/>
                <w:b/>
                <w:bCs/>
                <w:color w:val="14121F"/>
                <w:sz w:val="21"/>
                <w:szCs w:val="21"/>
              </w:rPr>
              <w:t xml:space="preserve">Product and release: </w:t>
            </w:r>
            <w:r>
              <w:rPr>
                <w:rFonts w:ascii="Calibri" w:cs="Calibri" w:eastAsia="Calibri" w:hAnsi="Calibri"/>
                <w:color w:val="14121F"/>
                <w:sz w:val="21"/>
                <w:szCs w:val="21"/>
              </w:rPr>
              <w:t xml:space="preserve">Vireo CP-7 infusion system, release 4.2.1 (pump firmware 4.2.1, dock 4.2.0, clinician app 2.9)</w:t>
            </w:r>
          </w:p>
          <w:p>
            <w:pPr>
              <w:spacing w:after="80" w:line="276"/>
            </w:pPr>
            <w:r>
              <w:rPr>
                <w:rFonts w:ascii="Calibri" w:cs="Calibri" w:eastAsia="Calibri" w:hAnsi="Calibri"/>
                <w:b/>
                <w:bCs/>
                <w:color w:val="14121F"/>
                <w:sz w:val="21"/>
                <w:szCs w:val="21"/>
              </w:rPr>
              <w:t xml:space="preserve">Company: </w:t>
            </w:r>
            <w:r>
              <w:rPr>
                <w:rFonts w:ascii="Calibri" w:cs="Calibri" w:eastAsia="Calibri" w:hAnsi="Calibri"/>
                <w:color w:val="14121F"/>
                <w:sz w:val="21"/>
                <w:szCs w:val="21"/>
              </w:rPr>
              <w:t xml:space="preserve">Vireo Medical, Inc. (fictional)</w:t>
            </w:r>
          </w:p>
          <w:p>
            <w:pPr>
              <w:spacing w:after="80" w:line="276"/>
            </w:pPr>
            <w:r>
              <w:rPr>
                <w:rFonts w:ascii="Calibri" w:cs="Calibri" w:eastAsia="Calibri" w:hAnsi="Calibri"/>
                <w:b/>
                <w:bCs/>
                <w:color w:val="14121F"/>
                <w:sz w:val="21"/>
                <w:szCs w:val="21"/>
              </w:rPr>
              <w:t xml:space="preserve">Document version: </w:t>
            </w:r>
            <w:r>
              <w:rPr>
                <w:rFonts w:ascii="Calibri" w:cs="Calibri" w:eastAsia="Calibri" w:hAnsi="Calibri"/>
                <w:color w:val="14121F"/>
                <w:sz w:val="21"/>
                <w:szCs w:val="21"/>
              </w:rPr>
              <w:t xml:space="preserve">1.0</w:t>
            </w:r>
          </w:p>
          <w:p>
            <w:pPr>
              <w:spacing w:after="80" w:line="276"/>
            </w:pPr>
            <w:r>
              <w:rPr>
                <w:rFonts w:ascii="Calibri" w:cs="Calibri" w:eastAsia="Calibri" w:hAnsi="Calibri"/>
                <w:b/>
                <w:bCs/>
                <w:color w:val="14121F"/>
                <w:sz w:val="21"/>
                <w:szCs w:val="21"/>
              </w:rPr>
              <w:t xml:space="preserve">Date: </w:t>
            </w:r>
            <w:r>
              <w:rPr>
                <w:rFonts w:ascii="Calibri" w:cs="Calibri" w:eastAsia="Calibri" w:hAnsi="Calibri"/>
                <w:color w:val="14121F"/>
                <w:sz w:val="21"/>
                <w:szCs w:val="21"/>
              </w:rPr>
              <w:t xml:space="preserve">October 24, 2026</w:t>
            </w:r>
          </w:p>
          <w:p>
            <w:pPr>
              <w:spacing w:after="80" w:line="276"/>
            </w:pPr>
            <w:r>
              <w:rPr>
                <w:rFonts w:ascii="Calibri" w:cs="Calibri" w:eastAsia="Calibri" w:hAnsi="Calibri"/>
                <w:b/>
                <w:bCs/>
                <w:color w:val="14121F"/>
                <w:sz w:val="21"/>
                <w:szCs w:val="21"/>
              </w:rPr>
              <w:t xml:space="preserve">Prepared by: </w:t>
            </w:r>
            <w:r>
              <w:rPr>
                <w:rFonts w:ascii="Calibri" w:cs="Calibri" w:eastAsia="Calibri" w:hAnsi="Calibri"/>
                <w:color w:val="14121F"/>
                <w:sz w:val="21"/>
                <w:szCs w:val="21"/>
              </w:rPr>
              <w:t xml:space="preserve">A. Okafor, Product Security Lead, with ELTON Cyber</w:t>
            </w:r>
          </w:p>
          <w:p>
            <w:pPr>
              <w:spacing w:after="80" w:line="276"/>
            </w:pPr>
            <w:r>
              <w:rPr>
                <w:rFonts w:ascii="Calibri" w:cs="Calibri" w:eastAsia="Calibri" w:hAnsi="Calibri"/>
                <w:b/>
                <w:bCs/>
                <w:color w:val="14121F"/>
                <w:sz w:val="21"/>
                <w:szCs w:val="21"/>
              </w:rPr>
              <w:t xml:space="preserve">Approved by: </w:t>
            </w:r>
            <w:r>
              <w:rPr>
                <w:rFonts w:ascii="Calibri" w:cs="Calibri" w:eastAsia="Calibri" w:hAnsi="Calibri"/>
                <w:color w:val="14121F"/>
                <w:sz w:val="21"/>
                <w:szCs w:val="21"/>
              </w:rPr>
              <w:t xml:space="preserve">M. Lindqvist, VP Quality and Regulatory</w:t>
            </w:r>
          </w:p>
          <w:p>
            <w:pPr>
              <w:spacing w:after="60" w:line="276"/>
            </w:pPr>
            <w:r>
              <w:rPr>
                <w:rFonts w:ascii="Calibri" w:cs="Calibri" w:eastAsia="Calibri" w:hAnsi="Calibri"/>
                <w:color w:val="14121F"/>
                <w:sz w:val="21"/>
                <w:szCs w:val="21"/>
              </w:rPr>
              <w:t xml:space="preserve"/>
            </w:r>
          </w:p>
          <w:p>
            <w:pPr>
              <w:spacing w:after="0" w:line="276"/>
            </w:pPr>
            <w:r>
              <w:rPr>
                <w:rFonts w:ascii="Calibri" w:cs="Calibri" w:eastAsia="Calibri" w:hAnsi="Calibri"/>
                <w:color w:val="595959"/>
                <w:sz w:val="19"/>
                <w:szCs w:val="19"/>
              </w:rPr>
              <w:t xml:space="preserve">ELTON Cyber  |  support@eltoncyber.com  |  eltoncyber.com</w:t>
            </w:r>
          </w:p>
        </w:tc>
      </w:tr>
    </w:tbl>
    <w:p>
      <w:r>
        <w:br w:type="page"/>
      </w:r>
    </w:p>
    <w:p>
      <w:pPr>
        <w:pStyle w:val="Heading1"/>
        <w:keepNext/>
        <w:spacing w:after="120" w:before="320"/>
      </w:pPr>
      <w:r>
        <w:rPr>
          <w:rFonts w:ascii="Calibri" w:cs="Calibri" w:eastAsia="Calibri" w:hAnsi="Calibri"/>
          <w:b/>
          <w:bCs/>
          <w:color w:val="5B4FE1"/>
          <w:sz w:val="30"/>
          <w:szCs w:val="30"/>
        </w:rPr>
        <w:t xml:space="preserve">About this example</w:t>
      </w:r>
    </w:p>
    <w:p>
      <w:pPr>
        <w:spacing w:after="120" w:line="276"/>
      </w:pPr>
      <w:r>
        <w:rPr>
          <w:rFonts w:ascii="Calibri" w:cs="Calibri" w:eastAsia="Calibri" w:hAnsi="Calibri"/>
          <w:color w:val="14121F"/>
          <w:sz w:val="21"/>
          <w:szCs w:val="21"/>
        </w:rPr>
        <w:t xml:space="preserve">This is the ELTON disclosure statement template filled in end to end for a fictional connected infusion system, so a reader can see what a finished statement looks like. The product, company, people, dates, test IDs and results are invented for illustration and describe no customer's device. The blank template is published alongside this file.</w:t>
      </w:r>
    </w:p>
    <w:p>
      <w:pPr>
        <w:pStyle w:val="Heading1"/>
        <w:keepNext/>
        <w:spacing w:after="120" w:before="320"/>
      </w:pPr>
      <w:r>
        <w:rPr>
          <w:rFonts w:ascii="Calibri" w:cs="Calibri" w:eastAsia="Calibri" w:hAnsi="Calibri"/>
          <w:b/>
          <w:bCs/>
          <w:color w:val="5B4FE1"/>
          <w:sz w:val="30"/>
          <w:szCs w:val="30"/>
        </w:rPr>
        <w:t xml:space="preserve">1. Purpose</w:t>
      </w:r>
    </w:p>
    <w:p>
      <w:pPr>
        <w:spacing w:after="120" w:line="276"/>
      </w:pPr>
      <w:r>
        <w:rPr>
          <w:rFonts w:ascii="Calibri" w:cs="Calibri" w:eastAsia="Calibri" w:hAnsi="Calibri"/>
          <w:color w:val="14121F"/>
          <w:sz w:val="21"/>
          <w:szCs w:val="21"/>
        </w:rPr>
        <w:t xml:space="preserve">This document records how Vireo Medical determined whether the Vireo CP-7 infusion system, release 4.2.1, is affected by the eMudhra weak certificate authority keys, which connections carry the exposure and under what conditions, the exploitability verdict per connection, the VEX statement, the remediation and its status, and the test cases used to find the exposure and to verify the fix. It is written to satisfy the postmarket vulnerability management expectations of Section 524B of the FD&amp;C Act and to be attached to the CP-7 premarket supplement and the October 2026 customer notification without rework.</w:t>
      </w:r>
    </w:p>
    <w:p>
      <w:pPr>
        <w:pStyle w:val="Heading1"/>
        <w:keepNext/>
        <w:spacing w:after="120" w:before="320"/>
      </w:pPr>
      <w:r>
        <w:rPr>
          <w:rFonts w:ascii="Calibri" w:cs="Calibri" w:eastAsia="Calibri" w:hAnsi="Calibri"/>
          <w:b/>
          <w:bCs/>
          <w:color w:val="5B4FE1"/>
          <w:sz w:val="30"/>
          <w:szCs w:val="30"/>
        </w:rPr>
        <w:t xml:space="preserve">2. Scope</w:t>
      </w:r>
    </w:p>
    <w:p>
      <w:pPr>
        <w:spacing w:after="120" w:line="276"/>
      </w:pPr>
      <w:r>
        <w:rPr>
          <w:rFonts w:ascii="Calibri" w:cs="Calibri" w:eastAsia="Calibri" w:hAnsi="Calibri"/>
          <w:color w:val="14121F"/>
          <w:sz w:val="21"/>
          <w:szCs w:val="21"/>
        </w:rPr>
        <w:t xml:space="preserve">In scope: every TLS client on the CP-7 system across six components (pump, dock, Vireo cloud service, hospital EHR gateway, clinician app for iOS and Android, field service tool) and the six dataflows D1 to D6 they carry. Out of scope: the pump's Bluetooth maintenance beacon (no TLS, no outbound connection) and the dock's USB diagnostics port (physical access only, covered by a separate assessment).</w:t>
      </w:r>
    </w:p>
    <w:p>
      <w:pPr>
        <w:pStyle w:val="Heading1"/>
        <w:keepNext/>
        <w:spacing w:after="120" w:before="320"/>
      </w:pPr>
      <w:r>
        <w:rPr>
          <w:rFonts w:ascii="Calibri" w:cs="Calibri" w:eastAsia="Calibri" w:hAnsi="Calibri"/>
          <w:b/>
          <w:bCs/>
          <w:color w:val="5B4FE1"/>
          <w:sz w:val="30"/>
          <w:szCs w:val="30"/>
        </w:rPr>
        <w:t xml:space="preserve">3. References</w:t>
      </w:r>
    </w:p>
    <w:p>
      <w:pPr>
        <w:pStyle w:val="Heading2"/>
        <w:keepNext/>
        <w:spacing w:after="80" w:before="220"/>
      </w:pPr>
      <w:r>
        <w:rPr>
          <w:rFonts w:ascii="Calibri" w:cs="Calibri" w:eastAsia="Calibri" w:hAnsi="Calibri"/>
          <w:b/>
          <w:bCs/>
          <w:color w:val="14121F"/>
          <w:sz w:val="24"/>
          <w:szCs w:val="24"/>
        </w:rPr>
        <w:t xml:space="preserve">Internal</w:t>
      </w:r>
    </w:p>
    <w:p>
      <w:pPr>
        <w:pStyle w:val="ListParagraph"/>
        <w:numPr>
          <w:ilvl w:val="0"/>
          <w:numId w:val="2"/>
        </w:numPr>
        <w:spacing w:after="60" w:line="276"/>
      </w:pPr>
      <w:r>
        <w:rPr>
          <w:rFonts w:ascii="Calibri" w:cs="Calibri" w:eastAsia="Calibri" w:hAnsi="Calibri"/>
          <w:color w:val="14121F"/>
          <w:sz w:val="21"/>
          <w:szCs w:val="21"/>
        </w:rPr>
        <w:t xml:space="preserve">VM-TM-0071 Vireo CP-7 threat model and architectural views, rev D</w:t>
      </w:r>
    </w:p>
    <w:p>
      <w:pPr>
        <w:pStyle w:val="ListParagraph"/>
        <w:numPr>
          <w:ilvl w:val="0"/>
          <w:numId w:val="2"/>
        </w:numPr>
        <w:spacing w:after="60" w:line="276"/>
      </w:pPr>
      <w:r>
        <w:rPr>
          <w:rFonts w:ascii="Calibri" w:cs="Calibri" w:eastAsia="Calibri" w:hAnsi="Calibri"/>
          <w:color w:val="14121F"/>
          <w:sz w:val="21"/>
          <w:szCs w:val="21"/>
        </w:rPr>
        <w:t xml:space="preserve">VM-SBOM-CP7-4.2.1 software bill of materials (ca-certificates 20250115, OpenSSL 3.0.13, OpenJDK 17.0.11 cacerts)</w:t>
      </w:r>
    </w:p>
    <w:p>
      <w:pPr>
        <w:pStyle w:val="ListParagraph"/>
        <w:numPr>
          <w:ilvl w:val="0"/>
          <w:numId w:val="2"/>
        </w:numPr>
        <w:spacing w:after="60" w:line="276"/>
      </w:pPr>
      <w:r>
        <w:rPr>
          <w:rFonts w:ascii="Calibri" w:cs="Calibri" w:eastAsia="Calibri" w:hAnsi="Calibri"/>
          <w:color w:val="14121F"/>
          <w:sz w:val="21"/>
          <w:szCs w:val="21"/>
        </w:rPr>
        <w:t xml:space="preserve">VM-CRA-0071 CP-7 cybersecurity risk assessment, rev C</w:t>
      </w:r>
    </w:p>
    <w:p>
      <w:pPr>
        <w:pStyle w:val="ListParagraph"/>
        <w:numPr>
          <w:ilvl w:val="0"/>
          <w:numId w:val="2"/>
        </w:numPr>
        <w:spacing w:after="60" w:line="276"/>
      </w:pPr>
      <w:r>
        <w:rPr>
          <w:rFonts w:ascii="Calibri" w:cs="Calibri" w:eastAsia="Calibri" w:hAnsi="Calibri"/>
          <w:color w:val="14121F"/>
          <w:sz w:val="21"/>
          <w:szCs w:val="21"/>
        </w:rPr>
        <w:t xml:space="preserve">ELTON test report ELT-VM-2026-10-CP7 (this event) and ELT-VM-2026-06-CP7 (annual postmarket test)</w:t>
      </w:r>
    </w:p>
    <w:p>
      <w:pPr>
        <w:pStyle w:val="ListParagraph"/>
        <w:numPr>
          <w:ilvl w:val="0"/>
          <w:numId w:val="2"/>
        </w:numPr>
        <w:spacing w:after="60" w:line="276"/>
      </w:pPr>
      <w:r>
        <w:rPr>
          <w:rFonts w:ascii="Calibri" w:cs="Calibri" w:eastAsia="Calibri" w:hAnsi="Calibri"/>
          <w:color w:val="14121F"/>
          <w:sz w:val="21"/>
          <w:szCs w:val="21"/>
        </w:rPr>
        <w:t xml:space="preserve">VM-PMP-0071 CP-7 postmarket cybersecurity management plan (524B), rev B</w:t>
      </w:r>
    </w:p>
    <w:p>
      <w:pPr>
        <w:pStyle w:val="Heading2"/>
        <w:keepNext/>
        <w:spacing w:after="80" w:before="220"/>
      </w:pPr>
      <w:r>
        <w:rPr>
          <w:rFonts w:ascii="Calibri" w:cs="Calibri" w:eastAsia="Calibri" w:hAnsi="Calibri"/>
          <w:b/>
          <w:bCs/>
          <w:color w:val="14121F"/>
          <w:sz w:val="24"/>
          <w:szCs w:val="24"/>
        </w:rPr>
        <w:t xml:space="preserve">External</w:t>
      </w:r>
    </w:p>
    <w:p>
      <w:pPr>
        <w:pStyle w:val="ListParagraph"/>
        <w:numPr>
          <w:ilvl w:val="0"/>
          <w:numId w:val="2"/>
        </w:numPr>
        <w:spacing w:after="60" w:line="276"/>
      </w:pPr>
      <w:r>
        <w:rPr>
          <w:rFonts w:ascii="Calibri" w:cs="Calibri" w:eastAsia="Calibri" w:hAnsi="Calibri"/>
          <w:color w:val="14121F"/>
          <w:sz w:val="21"/>
          <w:szCs w:val="21"/>
        </w:rPr>
        <w:t xml:space="preserve">Mozilla and Google Chrome Root Program incident reports on the eMudhra intermediate certificate authorities, October 17 to 20, 2026</w:t>
      </w:r>
    </w:p>
    <w:p>
      <w:pPr>
        <w:pStyle w:val="ListParagraph"/>
        <w:numPr>
          <w:ilvl w:val="0"/>
          <w:numId w:val="2"/>
        </w:numPr>
        <w:spacing w:after="60" w:line="276"/>
      </w:pPr>
      <w:r>
        <w:rPr>
          <w:rFonts w:ascii="Calibri" w:cs="Calibri" w:eastAsia="Calibri" w:hAnsi="Calibri"/>
          <w:color w:val="14121F"/>
          <w:sz w:val="21"/>
          <w:szCs w:val="21"/>
        </w:rPr>
        <w:t xml:space="preserve">Qualys, identifying compromised eMudhra certificates (CVE-2026-111943 and CVE-2026-111944), October 23, 2026</w:t>
      </w:r>
    </w:p>
    <w:p>
      <w:pPr>
        <w:pStyle w:val="ListParagraph"/>
        <w:numPr>
          <w:ilvl w:val="0"/>
          <w:numId w:val="2"/>
        </w:numPr>
        <w:spacing w:after="60" w:line="276"/>
      </w:pPr>
      <w:r>
        <w:rPr>
          <w:rFonts w:ascii="Calibri" w:cs="Calibri" w:eastAsia="Calibri" w:hAnsi="Calibri"/>
          <w:color w:val="14121F"/>
          <w:sz w:val="21"/>
          <w:szCs w:val="21"/>
        </w:rPr>
        <w:t xml:space="preserve">Red Hat Security Bulletin RHSB-2026-012; CERT-In advisory CIAD-2026-0050</w:t>
      </w:r>
    </w:p>
    <w:p>
      <w:pPr>
        <w:pStyle w:val="ListParagraph"/>
        <w:numPr>
          <w:ilvl w:val="0"/>
          <w:numId w:val="2"/>
        </w:numPr>
        <w:spacing w:after="60" w:line="276"/>
      </w:pPr>
      <w:r>
        <w:rPr>
          <w:rFonts w:ascii="Calibri" w:cs="Calibri" w:eastAsia="Calibri" w:hAnsi="Calibri"/>
          <w:color w:val="14121F"/>
          <w:sz w:val="21"/>
          <w:szCs w:val="21"/>
        </w:rPr>
        <w:t xml:space="preserve">FDA, Cybersecurity in Medical Devices: Quality System Considerations and Content of Premarket Submissions; Section 524B of the FD&amp;C Act</w:t>
      </w:r>
    </w:p>
    <w:p>
      <w:pPr>
        <w:pStyle w:val="ListParagraph"/>
        <w:numPr>
          <w:ilvl w:val="0"/>
          <w:numId w:val="2"/>
        </w:numPr>
        <w:spacing w:after="60" w:line="276"/>
      </w:pPr>
      <w:r>
        <w:rPr>
          <w:rFonts w:ascii="Calibri" w:cs="Calibri" w:eastAsia="Calibri" w:hAnsi="Calibri"/>
          <w:color w:val="14121F"/>
          <w:sz w:val="21"/>
          <w:szCs w:val="21"/>
        </w:rPr>
        <w:t xml:space="preserve">CISA, VEX use cases and minimum requirements; CycloneDX 1.6 and CSAF 2.0 VEX profiles</w:t>
      </w:r>
    </w:p>
    <w:p>
      <w:pPr>
        <w:pStyle w:val="ListParagraph"/>
        <w:numPr>
          <w:ilvl w:val="0"/>
          <w:numId w:val="2"/>
        </w:numPr>
        <w:spacing w:after="60" w:line="276"/>
      </w:pPr>
      <w:r>
        <w:rPr>
          <w:rFonts w:ascii="Calibri" w:cs="Calibri" w:eastAsia="Calibri" w:hAnsi="Calibri"/>
          <w:color w:val="14121F"/>
          <w:sz w:val="21"/>
          <w:szCs w:val="21"/>
        </w:rPr>
        <w:t xml:space="preserve">ELTON exploitability notification ELTON-EN-2026-001, eMudhra Weak CA Keys, and the whitepaper How ELTON Protects Against eMudhra and the Forever Vulnerability Class</w:t>
      </w:r>
    </w:p>
    <w:p>
      <w:pPr>
        <w:pStyle w:val="Heading1"/>
        <w:keepNext/>
        <w:spacing w:after="120" w:before="320"/>
      </w:pPr>
      <w:r>
        <w:rPr>
          <w:rFonts w:ascii="Calibri" w:cs="Calibri" w:eastAsia="Calibri" w:hAnsi="Calibri"/>
          <w:b/>
          <w:bCs/>
          <w:color w:val="5B4FE1"/>
          <w:sz w:val="30"/>
          <w:szCs w:val="30"/>
        </w:rPr>
        <w:t xml:space="preserve">4. Definitions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300"/>
        <w:gridCol w:w="7780"/>
      </w:tblGrid>
      <w:tr>
        <w:trPr>
          <w:tblHeader/>
        </w:trPr>
        <w:tc>
          <w:tcPr>
            <w:tcW w:type="dxa" w:w="23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Term</w:t>
            </w:r>
          </w:p>
        </w:tc>
        <w:tc>
          <w:tcPr>
            <w:tcW w:type="dxa" w:w="778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Definition</w:t>
            </w:r>
          </w:p>
        </w:tc>
      </w:tr>
      <w:tr>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Entry vector</w:t>
            </w:r>
          </w:p>
        </w:tc>
        <w:tc>
          <w:tcPr>
            <w:tcW w:type="dxa" w:w="77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A position or capability an attacker starts from, outside the product's trust boundary. For this event: a position on the network path between a CP-7 TLS client and its server.</w:t>
            </w:r>
          </w:p>
        </w:tc>
      </w:tr>
      <w:tr>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Precondition</w:t>
            </w:r>
          </w:p>
        </w:tc>
        <w:tc>
          <w:tcPr>
            <w:tcW w:type="dxa" w:w="77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A condition that must hold for the exploit to succeed, produced by the entry vector or by the product as shipped: the client's trust store contains emSign ECC Root CA - G3 or AAA Certificate Services, the client does not enforce revocation, and the client does not pin the server's key.</w:t>
            </w:r>
          </w:p>
        </w:tc>
      </w:tr>
      <w:tr>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Postcondition</w:t>
            </w:r>
          </w:p>
        </w:tc>
        <w:tc>
          <w:tcPr>
            <w:tcW w:type="dxa" w:w="77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What the attacker holds after the exploit succeeds: a certificate the client accepts for any hostname, so every TLS session on that connection is readable and writable.</w:t>
            </w:r>
          </w:p>
        </w:tc>
      </w:tr>
      <w:tr>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Directly exploitable</w:t>
            </w:r>
          </w:p>
        </w:tc>
        <w:tc>
          <w:tcPr>
            <w:tcW w:type="dxa" w:w="77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Reachable from an entry vector the attacker has, with every precondition met by the product as shipped, demonstrated on the real product with stored evidence.</w:t>
            </w:r>
          </w:p>
        </w:tc>
      </w:tr>
      <w:tr>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Conditionally exploitable</w:t>
            </w:r>
          </w:p>
        </w:tc>
        <w:tc>
          <w:tcPr>
            <w:tcW w:type="dxa" w:w="77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Reachable only after another finding is exploited first, or only when a condition the product does not meet as shipped is introduced. The dependency is named.</w:t>
            </w:r>
          </w:p>
        </w:tc>
      </w:tr>
      <w:tr>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Unexploitable weakness</w:t>
            </w:r>
          </w:p>
        </w:tc>
        <w:tc>
          <w:tcPr>
            <w:tcW w:type="dxa" w:w="77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A real flaw with no reachable path under the current entry vectors and preconditions. Tracked; not a vulnerability on this product.</w:t>
            </w:r>
          </w:p>
        </w:tc>
      </w:tr>
      <w:tr>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Mitigated weakness</w:t>
            </w:r>
          </w:p>
        </w:tc>
        <w:tc>
          <w:tcPr>
            <w:tcW w:type="dxa" w:w="77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A finding whose path has been closed by a verified control or fix. The retest evidence is attached.</w:t>
            </w:r>
          </w:p>
        </w:tc>
      </w:tr>
      <w:tr>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VEX status</w:t>
            </w:r>
          </w:p>
        </w:tc>
        <w:tc>
          <w:tcPr>
            <w:tcW w:type="dxa" w:w="77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One of: not affected, affected, fixed, under investigation, with a justification for not affected.</w:t>
            </w:r>
          </w:p>
        </w:tc>
      </w:tr>
    </w:tbl>
    <w:p>
      <w:pPr>
        <w:pStyle w:val="Heading1"/>
        <w:keepNext/>
        <w:spacing w:after="120" w:before="320"/>
      </w:pPr>
      <w:r>
        <w:rPr>
          <w:rFonts w:ascii="Calibri" w:cs="Calibri" w:eastAsia="Calibri" w:hAnsi="Calibri"/>
          <w:b/>
          <w:bCs/>
          <w:color w:val="5B4FE1"/>
          <w:sz w:val="30"/>
          <w:szCs w:val="30"/>
        </w:rPr>
        <w:t xml:space="preserve">5. Vulnerability summary</w:t>
      </w:r>
    </w:p>
    <w:p>
      <w:pPr>
        <w:spacing w:after="120" w:line="276"/>
      </w:pPr>
      <w:r>
        <w:rPr>
          <w:rFonts w:ascii="Calibri" w:cs="Calibri" w:eastAsia="Calibri" w:hAnsi="Calibri"/>
          <w:color w:val="14121F"/>
          <w:sz w:val="21"/>
          <w:szCs w:val="21"/>
        </w:rPr>
        <w:t xml:space="preserve">On October 17, 2026 the private keys of eight eMudhra intermediate certificate authorities were shown to be small whole numbers computable from their public certificates. Anyone can sign a certificate for any hostname with them. Browsers and current operating systems blocked the certificates within days. A fielded medical device does not: its trust stores are compiled into firmware, and each weak intermediate is also cross-signed by Sectigo under AAA Certificate Services, a root present in Linux, Java and OpenSSL bundles since 2004. A client that trusts a public bundle, does not enforce revocation and does not pin the server's key accepts the forged chain, and every TLS connection it makes can be intercepted by an attacker on the network path until the trust store changes.</w:t>
      </w:r>
    </w:p>
    <w:p>
      <w:pPr>
        <w:spacing w:after="120" w:line="276"/>
      </w:pPr>
      <w:r>
        <w:rPr>
          <w:rFonts w:ascii="Calibri" w:cs="Calibri" w:eastAsia="Calibri" w:hAnsi="Calibri"/>
          <w:color w:val="14121F"/>
          <w:sz w:val="21"/>
          <w:szCs w:val="21"/>
        </w:rPr>
        <w:t xml:space="preserve">Vireo Medical assessment dates: inventory October 20, 2026 (digital twin query), live verification October 21 to 22, 2026 (ELTON pipeline through TestLink in the Vireo Columbus lab), verdicts October 22, fix retest October 24. Branches of the class considered: the emSign G3 roots, the eight weak intermediates, and the AAA Certificate Services cross-sign.</w:t>
      </w:r>
    </w:p>
    <w:p>
      <w:pPr>
        <w:pStyle w:val="Heading1"/>
        <w:keepNext/>
        <w:spacing w:after="120" w:before="320"/>
      </w:pPr>
      <w:r>
        <w:rPr>
          <w:rFonts w:ascii="Calibri" w:cs="Calibri" w:eastAsia="Calibri" w:hAnsi="Calibri"/>
          <w:b/>
          <w:bCs/>
          <w:color w:val="5B4FE1"/>
          <w:sz w:val="30"/>
          <w:szCs w:val="30"/>
        </w:rPr>
        <w:t xml:space="preserve">6. How exposure was determined</w:t>
      </w:r>
    </w:p>
    <w:p>
      <w:pPr>
        <w:spacing w:after="120" w:line="276"/>
      </w:pPr>
      <w:r>
        <w:rPr>
          <w:rFonts w:ascii="Calibri" w:cs="Calibri" w:eastAsia="Calibri" w:hAnsi="Calibri"/>
          <w:color w:val="14121F"/>
          <w:sz w:val="21"/>
          <w:szCs w:val="21"/>
        </w:rPr>
        <w:t xml:space="preserve">The question was answered per TLS client, not per product. Vireo and ELTON followed the steps below; each names the source of the answer.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00"/>
        <w:gridCol w:w="3500"/>
        <w:gridCol w:w="2700"/>
        <w:gridCol w:w="1680"/>
      </w:tblGrid>
      <w:tr>
        <w:trPr>
          <w:tblHeader/>
        </w:trPr>
        <w:tc>
          <w:tcPr>
            <w:tcW w:type="dxa" w:w="22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Step</w:t>
            </w:r>
          </w:p>
        </w:tc>
        <w:tc>
          <w:tcPr>
            <w:tcW w:type="dxa" w:w="35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What was done</w:t>
            </w:r>
          </w:p>
        </w:tc>
        <w:tc>
          <w:tcPr>
            <w:tcW w:type="dxa" w:w="27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Source of the answer</w:t>
            </w:r>
          </w:p>
        </w:tc>
        <w:tc>
          <w:tcPr>
            <w:tcW w:type="dxa" w:w="168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Owner and date</w:t>
            </w:r>
          </w:p>
        </w:tc>
      </w:tr>
      <w:tr>
        <w:tc>
          <w:tcPr>
            <w:tcW w:type="dxa" w:w="22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1. Locate every TLS client</w:t>
            </w:r>
          </w:p>
        </w:tc>
        <w:tc>
          <w:tcPr>
            <w:tcW w:type="dxa" w:w="3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Six components and six dataflows enumerated. Five dataflows use TLS (D2 to D6); D1 is serial with no TLS. Six TLS clients identified across four trust sources.</w:t>
            </w:r>
          </w:p>
        </w:tc>
        <w:tc>
          <w:tcPr>
            <w:tcW w:type="dxa" w:w="27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ELTON digital twin for CP-7 4.2.1 (onboarded June 2026), confirmed against dock firmware image and clinician app source</w:t>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A. Okafor, ELTON, Oct 20</w:t>
            </w:r>
          </w:p>
        </w:tc>
      </w:tr>
      <w:tr>
        <w:tc>
          <w:tcPr>
            <w:tcW w:type="dxa" w:w="22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2. Identify the trust source</w:t>
            </w:r>
          </w:p>
        </w:tc>
        <w:tc>
          <w:tcPr>
            <w:tcW w:type="dxa" w:w="3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Dock telemetry and firmware clients: OS ca-certificates bundle 20250115. Dock EHR integration service: OpenJDK 17 cacerts. Clinician app: iOS and Android platform stores. Pump and service tool: Vireo private CA only.</w:t>
            </w:r>
          </w:p>
        </w:tc>
        <w:tc>
          <w:tcPr>
            <w:tcW w:type="dxa" w:w="27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Twin security profile; firmware extraction of dock image 4.2.0</w:t>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ELTON, Oct 20</w:t>
            </w:r>
          </w:p>
        </w:tc>
      </w:tr>
      <w:tr>
        <w:tc>
          <w:tcPr>
            <w:tcW w:type="dxa" w:w="22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3. Check the stores</w:t>
            </w:r>
          </w:p>
        </w:tc>
        <w:tc>
          <w:tcPr>
            <w:tcW w:type="dxa" w:w="3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OS bundle contains AAA Certificate Services and emSign ECC Root CA - G3. cacerts contains AAA Certificate Services. Platform stores: distrust applied by Apple and Google on Oct 19. Private CA store contains Vireo Root CA G1 only.</w:t>
            </w:r>
          </w:p>
        </w:tc>
        <w:tc>
          <w:tcPr>
            <w:tcW w:type="dxa" w:w="27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Store contents captured as evidence EV-CP7-STORES-01</w:t>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ELTON, Oct 20</w:t>
            </w:r>
          </w:p>
        </w:tc>
      </w:tr>
      <w:tr>
        <w:tc>
          <w:tcPr>
            <w:tcW w:type="dxa" w:w="22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4. Record revocation and pinning</w:t>
            </w:r>
          </w:p>
        </w:tc>
        <w:tc>
          <w:tcPr>
            <w:tcW w:type="dxa" w:w="3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OpenSSL clients: no CRL or OCSP check configured. Java service: revocation disabled (default). Clinician app: platform revocation; no pin. Pump and service tool: mutual TLS, no public trust consulted. No client pins an SPKI.</w:t>
            </w:r>
          </w:p>
        </w:tc>
        <w:tc>
          <w:tcPr>
            <w:tcW w:type="dxa" w:w="27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Code review (dock agent, integration service); runtime test</w:t>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ELTON, Oct 21</w:t>
            </w:r>
          </w:p>
        </w:tc>
      </w:tr>
      <w:tr>
        <w:tc>
          <w:tcPr>
            <w:tcW w:type="dxa" w:w="22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5. Record existing controls</w:t>
            </w:r>
          </w:p>
        </w:tc>
        <w:tc>
          <w:tcPr>
            <w:tcW w:type="dxa" w:w="3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D3 firmware images carry an Ed25519 signature verified by the pump before install (VM-TM-0071 control C-14). D5 and D6 segments: hospital VLAN, no additional control. No other control on D2.</w:t>
            </w:r>
          </w:p>
        </w:tc>
        <w:tc>
          <w:tcPr>
            <w:tcW w:type="dxa" w:w="27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Twin controls layer; VM-TM-0071</w:t>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A. Okafor, Oct 21</w:t>
            </w:r>
          </w:p>
        </w:tc>
      </w:tr>
      <w:tr>
        <w:tc>
          <w:tcPr>
            <w:tcW w:type="dxa" w:w="22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6. Test on the real product</w:t>
            </w:r>
          </w:p>
        </w:tc>
        <w:tc>
          <w:tcPr>
            <w:tcW w:type="dxa" w:w="3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Forged chain for telemetry.vireo-cloud.example and ehr-gw.hospital.example presented to each in-scope client from an on-path position on the lab VLAN. Results in section 7.</w:t>
            </w:r>
          </w:p>
        </w:tc>
        <w:tc>
          <w:tcPr>
            <w:tcW w:type="dxa" w:w="27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ELTON agentic pentesting pipeline through TestLink unit TL-0418, Vireo Columbus lab</w:t>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ELTON, Oct 21 to 22</w:t>
            </w:r>
          </w:p>
        </w:tc>
      </w:tr>
      <w:tr>
        <w:tc>
          <w:tcPr>
            <w:tcW w:type="dxa" w:w="22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7. Assign the verdict</w:t>
            </w:r>
          </w:p>
        </w:tc>
        <w:tc>
          <w:tcPr>
            <w:tcW w:type="dxa" w:w="3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Each finding placed in the CP-7 exploit chain and assigned one of the four verdicts.</w:t>
            </w:r>
          </w:p>
        </w:tc>
        <w:tc>
          <w:tcPr>
            <w:tcW w:type="dxa" w:w="27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ELTON dependency graph, CP-7 4.2.1</w:t>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ELTON and A. Okafor, Oct 22</w:t>
            </w:r>
          </w:p>
        </w:tc>
      </w:tr>
    </w:tbl>
    <w:p>
      <w:pPr>
        <w:spacing w:after="60" w:line="276"/>
      </w:pPr>
      <w:r>
        <w:rPr>
          <w:rFonts w:ascii="Calibri" w:cs="Calibri" w:eastAsia="Calibri" w:hAnsi="Calibri"/>
          <w:color w:val="14121F"/>
          <w:sz w:val="21"/>
          <w:szCs w:val="21"/>
        </w:rPr>
        <w:t xml:space="preserve"/>
      </w:r>
    </w:p>
    <w:p>
      <w:pPr>
        <w:pStyle w:val="Heading2"/>
        <w:keepNext/>
        <w:spacing w:after="80" w:before="220"/>
      </w:pPr>
      <w:r>
        <w:rPr>
          <w:rFonts w:ascii="Calibri" w:cs="Calibri" w:eastAsia="Calibri" w:hAnsi="Calibri"/>
          <w:b/>
          <w:bCs/>
          <w:color w:val="14121F"/>
          <w:sz w:val="24"/>
          <w:szCs w:val="24"/>
        </w:rPr>
        <w:t xml:space="preserve">6.1 Portfolio search</w:t>
      </w:r>
    </w:p>
    <w:p>
      <w:pPr>
        <w:spacing w:after="120" w:line="276"/>
      </w:pPr>
      <w:r>
        <w:rPr>
          <w:rFonts w:ascii="Calibri" w:cs="Calibri" w:eastAsia="Calibri" w:hAnsi="Calibri"/>
          <w:color w:val="14121F"/>
          <w:sz w:val="21"/>
          <w:szCs w:val="21"/>
        </w:rPr>
        <w:t xml:space="preserve">The same query ran across all 14 Vireo products onboarded in ELTON on the shared digital-twin attributes (TLS client present, trust source is a public bundle, no pin, no revocation enforcement). It returned 31 connections on 9 products. The CP-7 is the subject of this statement; the other eight products have statements of their own (VM-VDS-0072 to 0079). Five products returned no exposed connection and carry a documented negative.</w:t>
      </w:r>
    </w:p>
    <w:p>
      <w:pPr>
        <w:pStyle w:val="Heading1"/>
        <w:keepNext/>
        <w:spacing w:after="120" w:before="320"/>
      </w:pPr>
      <w:r>
        <w:rPr>
          <w:rFonts w:ascii="Calibri" w:cs="Calibri" w:eastAsia="Calibri" w:hAnsi="Calibri"/>
          <w:b/>
          <w:bCs/>
          <w:color w:val="5B4FE1"/>
          <w:sz w:val="30"/>
          <w:szCs w:val="30"/>
        </w:rPr>
        <w:t xml:space="preserve">7. Per-connection exposure assessment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00"/>
        <w:gridCol w:w="1400"/>
        <w:gridCol w:w="1800"/>
        <w:gridCol w:w="1300"/>
        <w:gridCol w:w="900"/>
        <w:gridCol w:w="900"/>
        <w:gridCol w:w="1500"/>
        <w:gridCol w:w="1680"/>
      </w:tblGrid>
      <w:tr>
        <w:trPr>
          <w:tblHeader/>
        </w:trPr>
        <w:tc>
          <w:tcPr>
            <w:tcW w:type="dxa" w:w="6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ID</w:t>
            </w:r>
          </w:p>
        </w:tc>
        <w:tc>
          <w:tcPr>
            <w:tcW w:type="dxa" w:w="14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Component</w:t>
            </w:r>
          </w:p>
        </w:tc>
        <w:tc>
          <w:tcPr>
            <w:tcW w:type="dxa" w:w="18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Interface and dataflow</w:t>
            </w:r>
          </w:p>
        </w:tc>
        <w:tc>
          <w:tcPr>
            <w:tcW w:type="dxa" w:w="13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Trust source</w:t>
            </w:r>
          </w:p>
        </w:tc>
        <w:tc>
          <w:tcPr>
            <w:tcW w:type="dxa" w:w="9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Revocation</w:t>
            </w:r>
          </w:p>
        </w:tc>
        <w:tc>
          <w:tcPr>
            <w:tcW w:type="dxa" w:w="9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Pin</w:t>
            </w:r>
          </w:p>
        </w:tc>
        <w:tc>
          <w:tcPr>
            <w:tcW w:type="dxa" w:w="15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Existing controls</w:t>
            </w:r>
          </w:p>
        </w:tc>
        <w:tc>
          <w:tcPr>
            <w:tcW w:type="dxa" w:w="168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Verdict</w:t>
            </w:r>
          </w:p>
        </w:tc>
      </w:tr>
      <w:tr>
        <w:tc>
          <w:tcPr>
            <w:tcW w:type="dxa" w:w="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D1</w:t>
            </w:r>
          </w:p>
        </w:tc>
        <w:tc>
          <w:tcPr>
            <w:tcW w:type="dxa" w:w="14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Pump</w:t>
            </w:r>
          </w:p>
        </w:tc>
        <w:tc>
          <w:tcPr>
            <w:tcW w:type="dxa" w:w="1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Serial link to dock; pump status and commands</w:t>
            </w:r>
          </w:p>
        </w:tc>
        <w:tc>
          <w:tcPr>
            <w:tcW w:type="dxa" w:w="1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None (no TLS)</w:t>
            </w:r>
          </w:p>
        </w:tc>
        <w:tc>
          <w:tcPr>
            <w:tcW w:type="dxa" w:w="9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N/A</w:t>
            </w:r>
          </w:p>
        </w:tc>
        <w:tc>
          <w:tcPr>
            <w:tcW w:type="dxa" w:w="9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N/A</w:t>
            </w:r>
          </w:p>
        </w:tc>
        <w:tc>
          <w:tcPr>
            <w:tcW w:type="dxa" w:w="1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Physical docking</w:t>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Not affected</w:t>
            </w:r>
          </w:p>
        </w:tc>
      </w:tr>
      <w:tr>
        <w:tc>
          <w:tcPr>
            <w:tcW w:type="dxa" w:w="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D2</w:t>
            </w:r>
          </w:p>
        </w:tc>
        <w:tc>
          <w:tcPr>
            <w:tcW w:type="dxa" w:w="14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Dock (embedded Linux, OpenSSL 3.0.13)</w:t>
            </w:r>
          </w:p>
        </w:tc>
        <w:tc>
          <w:tcPr>
            <w:tcW w:type="dxa" w:w="1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Wi-Fi to Vireo cloud; telemetry and alarm thresholds over HTTPS</w:t>
            </w:r>
          </w:p>
        </w:tc>
        <w:tc>
          <w:tcPr>
            <w:tcW w:type="dxa" w:w="1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OS bundle (AAA root present)</w:t>
            </w:r>
          </w:p>
        </w:tc>
        <w:tc>
          <w:tcPr>
            <w:tcW w:type="dxa" w:w="9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Not enforced</w:t>
            </w:r>
          </w:p>
        </w:tc>
        <w:tc>
          <w:tcPr>
            <w:tcW w:type="dxa" w:w="9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None</w:t>
            </w:r>
          </w:p>
        </w:tc>
        <w:tc>
          <w:tcPr>
            <w:tcW w:type="dxa" w:w="1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None on this flow</w:t>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Directly exploitable</w:t>
            </w:r>
          </w:p>
        </w:tc>
      </w:tr>
      <w:tr>
        <w:tc>
          <w:tcPr>
            <w:tcW w:type="dxa" w:w="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D3</w:t>
            </w:r>
          </w:p>
        </w:tc>
        <w:tc>
          <w:tcPr>
            <w:tcW w:type="dxa" w:w="14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Dock, same client</w:t>
            </w:r>
          </w:p>
        </w:tc>
        <w:tc>
          <w:tcPr>
            <w:tcW w:type="dxa" w:w="1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Wi-Fi to Vireo cloud; firmware manifest and image fetch</w:t>
            </w:r>
          </w:p>
        </w:tc>
        <w:tc>
          <w:tcPr>
            <w:tcW w:type="dxa" w:w="1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OS bundle (AAA root present)</w:t>
            </w:r>
          </w:p>
        </w:tc>
        <w:tc>
          <w:tcPr>
            <w:tcW w:type="dxa" w:w="9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Not enforced</w:t>
            </w:r>
          </w:p>
        </w:tc>
        <w:tc>
          <w:tcPr>
            <w:tcW w:type="dxa" w:w="9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None</w:t>
            </w:r>
          </w:p>
        </w:tc>
        <w:tc>
          <w:tcPr>
            <w:tcW w:type="dxa" w:w="1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Ed25519 image signature verified by the pump (C-14)</w:t>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Conditionally exploitable (on C-14)</w:t>
            </w:r>
          </w:p>
        </w:tc>
      </w:tr>
      <w:tr>
        <w:tc>
          <w:tcPr>
            <w:tcW w:type="dxa" w:w="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D4</w:t>
            </w:r>
          </w:p>
        </w:tc>
        <w:tc>
          <w:tcPr>
            <w:tcW w:type="dxa" w:w="14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Clinician app (iOS, Android)</w:t>
            </w:r>
          </w:p>
        </w:tc>
        <w:tc>
          <w:tcPr>
            <w:tcW w:type="dxa" w:w="1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Mobile network to Vireo cloud; infusion review and ordering</w:t>
            </w:r>
          </w:p>
        </w:tc>
        <w:tc>
          <w:tcPr>
            <w:tcW w:type="dxa" w:w="1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Platform store</w:t>
            </w:r>
          </w:p>
        </w:tc>
        <w:tc>
          <w:tcPr>
            <w:tcW w:type="dxa" w:w="9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Platform</w:t>
            </w:r>
          </w:p>
        </w:tc>
        <w:tc>
          <w:tcPr>
            <w:tcW w:type="dxa" w:w="9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None</w:t>
            </w:r>
          </w:p>
        </w:tc>
        <w:tc>
          <w:tcPr>
            <w:tcW w:type="dxa" w:w="1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Platform distrust since Oct 19</w:t>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Not affected (confirmed by test)</w:t>
            </w:r>
          </w:p>
        </w:tc>
      </w:tr>
      <w:tr>
        <w:tc>
          <w:tcPr>
            <w:tcW w:type="dxa" w:w="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D5</w:t>
            </w:r>
          </w:p>
        </w:tc>
        <w:tc>
          <w:tcPr>
            <w:tcW w:type="dxa" w:w="14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Pump</w:t>
            </w:r>
          </w:p>
        </w:tc>
        <w:tc>
          <w:tcPr>
            <w:tcW w:type="dxa" w:w="1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Service tool over mutual TLS; calibration and logs</w:t>
            </w:r>
          </w:p>
        </w:tc>
        <w:tc>
          <w:tcPr>
            <w:tcW w:type="dxa" w:w="1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Vireo private CA only</w:t>
            </w:r>
          </w:p>
        </w:tc>
        <w:tc>
          <w:tcPr>
            <w:tcW w:type="dxa" w:w="9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N/A</w:t>
            </w:r>
          </w:p>
        </w:tc>
        <w:tc>
          <w:tcPr>
            <w:tcW w:type="dxa" w:w="9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mTLS client and server certs</w:t>
            </w:r>
          </w:p>
        </w:tc>
        <w:tc>
          <w:tcPr>
            <w:tcW w:type="dxa" w:w="1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Private CA, public bundle not consulted</w:t>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Not affected</w:t>
            </w:r>
          </w:p>
        </w:tc>
      </w:tr>
      <w:tr>
        <w:tc>
          <w:tcPr>
            <w:tcW w:type="dxa" w:w="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D6</w:t>
            </w:r>
          </w:p>
        </w:tc>
        <w:tc>
          <w:tcPr>
            <w:tcW w:type="dxa" w:w="14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Dock integration service (OpenJDK 17)</w:t>
            </w:r>
          </w:p>
        </w:tc>
        <w:tc>
          <w:tcPr>
            <w:tcW w:type="dxa" w:w="1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Hospital LAN to EHR gateway; HL7 v2 over TLS</w:t>
            </w:r>
          </w:p>
        </w:tc>
        <w:tc>
          <w:tcPr>
            <w:tcW w:type="dxa" w:w="1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Java cacerts (AAA root present)</w:t>
            </w:r>
          </w:p>
        </w:tc>
        <w:tc>
          <w:tcPr>
            <w:tcW w:type="dxa" w:w="9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Disabled</w:t>
            </w:r>
          </w:p>
        </w:tc>
        <w:tc>
          <w:tcPr>
            <w:tcW w:type="dxa" w:w="9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None</w:t>
            </w:r>
          </w:p>
        </w:tc>
        <w:tc>
          <w:tcPr>
            <w:tcW w:type="dxa" w:w="1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Hospital VLAN only</w:t>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Directly exploitable</w:t>
            </w:r>
          </w:p>
        </w:tc>
      </w:tr>
    </w:tbl>
    <w:p>
      <w:pPr>
        <w:pStyle w:val="Heading1"/>
        <w:keepNext/>
        <w:spacing w:after="120" w:before="320"/>
      </w:pPr>
      <w:r>
        <w:rPr>
          <w:rFonts w:ascii="Calibri" w:cs="Calibri" w:eastAsia="Calibri" w:hAnsi="Calibri"/>
          <w:b/>
          <w:bCs/>
          <w:color w:val="5B4FE1"/>
          <w:sz w:val="30"/>
          <w:szCs w:val="30"/>
        </w:rPr>
        <w:t xml:space="preserve">8. Exploit chain per connection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0"/>
        <w:gridCol w:w="2300"/>
        <w:gridCol w:w="2500"/>
        <w:gridCol w:w="2300"/>
        <w:gridCol w:w="1980"/>
      </w:tblGrid>
      <w:tr>
        <w:trPr>
          <w:tblHeader/>
        </w:trPr>
        <w:tc>
          <w:tcPr>
            <w:tcW w:type="dxa" w:w="10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Connection ID</w:t>
            </w:r>
          </w:p>
        </w:tc>
        <w:tc>
          <w:tcPr>
            <w:tcW w:type="dxa" w:w="23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Entry vector(s)</w:t>
            </w:r>
          </w:p>
        </w:tc>
        <w:tc>
          <w:tcPr>
            <w:tcW w:type="dxa" w:w="25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Preconditions (met as shipped? Y/N)</w:t>
            </w:r>
          </w:p>
        </w:tc>
        <w:tc>
          <w:tcPr>
            <w:tcW w:type="dxa" w:w="23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Postconditions achieved</w:t>
            </w:r>
          </w:p>
        </w:tc>
        <w:tc>
          <w:tcPr>
            <w:tcW w:type="dxa" w:w="198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Verdict and rationale</w:t>
            </w:r>
          </w:p>
        </w:tc>
      </w:tr>
      <w:tr>
        <w:tc>
          <w:tcPr>
            <w:tcW w:type="dxa" w:w="1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D2</w:t>
            </w:r>
          </w:p>
        </w:tc>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Attacker on the network path between the dock and telemetry.vireo-cloud.example: hospital Wi-Fi segment, upstream provider, or home Wi-Fi for home-infusion units</w:t>
            </w:r>
          </w:p>
        </w:tc>
        <w:tc>
          <w:tcPr>
            <w:tcW w:type="dxa" w:w="2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OS bundle trusts AAA Certificate Services (Y); no revocation check (Y); no pin (Y); hostname visible in DNS and the TLS handshake (Y)</w:t>
            </w:r>
          </w:p>
        </w:tc>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Forged certificate accepted; telemetry readable; alarm-threshold configuration pushes alterable in transit; dock continues to report normally</w:t>
            </w:r>
          </w:p>
        </w:tc>
        <w:tc>
          <w:tcPr>
            <w:tcW w:type="dxa" w:w="19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Directly exploitable. Every precondition met by the shipped build; demonstrated on the dock, evidence TC-EM-01-D2 (capture CAP-1021-07)</w:t>
            </w:r>
          </w:p>
        </w:tc>
      </w:tr>
      <w:tr>
        <w:tc>
          <w:tcPr>
            <w:tcW w:type="dxa" w:w="1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D3</w:t>
            </w:r>
          </w:p>
        </w:tc>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Same position as D2</w:t>
            </w:r>
          </w:p>
        </w:tc>
        <w:tc>
          <w:tcPr>
            <w:tcW w:type="dxa" w:w="2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Same as D2 (all Y); plus bypass of the Ed25519 image signature check on the pump (N: C-14 holds, key not exposed)</w:t>
            </w:r>
          </w:p>
        </w:tc>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Forged manifest accepted by the dock; forged image rejected by the pump at install</w:t>
            </w:r>
          </w:p>
        </w:tc>
        <w:tc>
          <w:tcPr>
            <w:tcW w:type="dxa" w:w="19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Conditionally exploitable on C-14. The transport is owned, the outcome depends on a second control that holds. C-14 becomes its own test case (TC-FW-03)</w:t>
            </w:r>
          </w:p>
        </w:tc>
      </w:tr>
      <w:tr>
        <w:tc>
          <w:tcPr>
            <w:tcW w:type="dxa" w:w="1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D4</w:t>
            </w:r>
          </w:p>
        </w:tc>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Attacker on the mobile network path</w:t>
            </w:r>
          </w:p>
        </w:tc>
        <w:tc>
          <w:tcPr>
            <w:tcW w:type="dxa" w:w="2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Platform store trusts the chain (N: distrusted Oct 19 on iOS 19.1 and Android via Play Services)</w:t>
            </w:r>
          </w:p>
        </w:tc>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None; handshake refused</w:t>
            </w:r>
          </w:p>
        </w:tc>
        <w:tc>
          <w:tcPr>
            <w:tcW w:type="dxa" w:w="19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Not affected, confirmed by test TC-EM-01-D4. Risk note: devices with platform updates disabled are outside this result</w:t>
            </w:r>
          </w:p>
        </w:tc>
      </w:tr>
      <w:tr>
        <w:tc>
          <w:tcPr>
            <w:tcW w:type="dxa" w:w="1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D6</w:t>
            </w:r>
          </w:p>
        </w:tc>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Attacker on the hospital LAN segment between the dock and ehr-gw.hospital.example</w:t>
            </w:r>
          </w:p>
        </w:tc>
        <w:tc>
          <w:tcPr>
            <w:tcW w:type="dxa" w:w="25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cacerts trusts AAA Certificate Services (Y); revocation disabled (Y); no pin (Y)</w:t>
            </w:r>
          </w:p>
        </w:tc>
        <w:tc>
          <w:tcPr>
            <w:tcW w:type="dxa" w:w="23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Forged certificate accepted; HL7 ADT and infusion-order messages readable and alterable in transit</w:t>
            </w:r>
          </w:p>
        </w:tc>
        <w:tc>
          <w:tcPr>
            <w:tcW w:type="dxa" w:w="19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Directly exploitable. Demonstrated on the dock integration service, evidence TC-EM-01-D6 (capture CAP-1022-03)</w:t>
            </w:r>
          </w:p>
        </w:tc>
      </w:tr>
    </w:tbl>
    <w:p>
      <w:pPr>
        <w:pStyle w:val="Heading1"/>
        <w:keepNext/>
        <w:spacing w:after="120" w:before="320"/>
      </w:pPr>
      <w:r>
        <w:rPr>
          <w:rFonts w:ascii="Calibri" w:cs="Calibri" w:eastAsia="Calibri" w:hAnsi="Calibri"/>
          <w:b/>
          <w:bCs/>
          <w:color w:val="5B4FE1"/>
          <w:sz w:val="30"/>
          <w:szCs w:val="30"/>
        </w:rPr>
        <w:t xml:space="preserve">9. Data on the connection and CIA impact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100"/>
        <w:gridCol w:w="2200"/>
        <w:gridCol w:w="1600"/>
        <w:gridCol w:w="1600"/>
        <w:gridCol w:w="1600"/>
        <w:gridCol w:w="1980"/>
      </w:tblGrid>
      <w:tr>
        <w:trPr>
          <w:tblHeader/>
        </w:trPr>
        <w:tc>
          <w:tcPr>
            <w:tcW w:type="dxa" w:w="11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Connection ID</w:t>
            </w:r>
          </w:p>
        </w:tc>
        <w:tc>
          <w:tcPr>
            <w:tcW w:type="dxa" w:w="22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Data carried</w:t>
            </w:r>
          </w:p>
        </w:tc>
        <w:tc>
          <w:tcPr>
            <w:tcW w:type="dxa" w:w="16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Confidentiality</w:t>
            </w:r>
          </w:p>
        </w:tc>
        <w:tc>
          <w:tcPr>
            <w:tcW w:type="dxa" w:w="16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Integrity</w:t>
            </w:r>
          </w:p>
        </w:tc>
        <w:tc>
          <w:tcPr>
            <w:tcW w:type="dxa" w:w="16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Availability</w:t>
            </w:r>
          </w:p>
        </w:tc>
        <w:tc>
          <w:tcPr>
            <w:tcW w:type="dxa" w:w="198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Clinical or safety consequence</w:t>
            </w:r>
          </w:p>
        </w:tc>
      </w:tr>
      <w:tr>
        <w:tc>
          <w:tcPr>
            <w:tcW w:type="dxa" w:w="11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D2</w:t>
            </w:r>
          </w:p>
        </w:tc>
        <w:tc>
          <w:tcPr>
            <w:tcW w:type="dxa" w:w="22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Pump telemetry (rate, volume infused, alarms), alarm-threshold configuration pushes, dock health</w:t>
            </w:r>
          </w:p>
        </w:tc>
        <w:tc>
          <w:tcPr>
            <w:tcW w:type="dxa" w:w="1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High: telemetry is patient-attributable through the encounter ID</w:t>
            </w:r>
          </w:p>
        </w:tc>
        <w:tc>
          <w:tcPr>
            <w:tcW w:type="dxa" w:w="1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High: threshold pushes alterable in transit</w:t>
            </w:r>
          </w:p>
        </w:tc>
        <w:tc>
          <w:tcPr>
            <w:tcW w:type="dxa" w:w="1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Low: dock buffers locally and the pump runs on local settings if the link drops</w:t>
            </w:r>
          </w:p>
        </w:tc>
        <w:tc>
          <w:tcPr>
            <w:tcW w:type="dxa" w:w="19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Altered occlusion or air-in-line thresholds could delay an alarm; no direct pump command path on this flow</w:t>
            </w:r>
          </w:p>
        </w:tc>
      </w:tr>
      <w:tr>
        <w:tc>
          <w:tcPr>
            <w:tcW w:type="dxa" w:w="11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D3</w:t>
            </w:r>
          </w:p>
        </w:tc>
        <w:tc>
          <w:tcPr>
            <w:tcW w:type="dxa" w:w="22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Firmware manifests and images</w:t>
            </w:r>
          </w:p>
        </w:tc>
        <w:tc>
          <w:tcPr>
            <w:tcW w:type="dxa" w:w="1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Low: images are public releases</w:t>
            </w:r>
          </w:p>
        </w:tc>
        <w:tc>
          <w:tcPr>
            <w:tcW w:type="dxa" w:w="1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High if C-14 were bypassed; none while it holds</w:t>
            </w:r>
          </w:p>
        </w:tc>
        <w:tc>
          <w:tcPr>
            <w:tcW w:type="dxa" w:w="1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Medium: update can be blocked, leaving a unit on an old release</w:t>
            </w:r>
          </w:p>
        </w:tc>
        <w:tc>
          <w:tcPr>
            <w:tcW w:type="dxa" w:w="19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None while image signing holds; tracked as TC-FW-03</w:t>
            </w:r>
          </w:p>
        </w:tc>
      </w:tr>
      <w:tr>
        <w:tc>
          <w:tcPr>
            <w:tcW w:type="dxa" w:w="11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D6</w:t>
            </w:r>
          </w:p>
        </w:tc>
        <w:tc>
          <w:tcPr>
            <w:tcW w:type="dxa" w:w="22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HL7 v2 ADT and infusion-order messages to the EHR gateway</w:t>
            </w:r>
          </w:p>
        </w:tc>
        <w:tc>
          <w:tcPr>
            <w:tcW w:type="dxa" w:w="1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High: PHI in transit</w:t>
            </w:r>
          </w:p>
        </w:tc>
        <w:tc>
          <w:tcPr>
            <w:tcW w:type="dxa" w:w="1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High: order acknowledgements alterable</w:t>
            </w:r>
          </w:p>
        </w:tc>
        <w:tc>
          <w:tcPr>
            <w:tcW w:type="dxa" w:w="16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Medium: EHR sync can be interrupted; clinicians fall back to manual charting</w:t>
            </w:r>
          </w:p>
        </w:tc>
        <w:tc>
          <w:tcPr>
            <w:tcW w:type="dxa" w:w="19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Wrong or missing infusion records in the EHR; the pump itself is not affected</w:t>
            </w:r>
          </w:p>
        </w:tc>
      </w:tr>
    </w:tbl>
    <w:p>
      <w:pPr>
        <w:pStyle w:val="Heading1"/>
        <w:keepNext/>
        <w:spacing w:after="120" w:before="320"/>
      </w:pPr>
      <w:r>
        <w:rPr>
          <w:rFonts w:ascii="Calibri" w:cs="Calibri" w:eastAsia="Calibri" w:hAnsi="Calibri"/>
          <w:b/>
          <w:bCs/>
          <w:color w:val="5B4FE1"/>
          <w:sz w:val="30"/>
          <w:szCs w:val="30"/>
        </w:rPr>
        <w:t xml:space="preserve">10. VEX statement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00"/>
        <w:gridCol w:w="7080"/>
      </w:tblGrid>
      <w:tr>
        <w:trPr>
          <w:tblHeader/>
        </w:trPr>
        <w:tc>
          <w:tcPr>
            <w:tcW w:type="dxa" w:w="30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Field</w:t>
            </w:r>
          </w:p>
        </w:tc>
        <w:tc>
          <w:tcPr>
            <w:tcW w:type="dxa" w:w="708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Value</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Product</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Vireo CP-7 infusion system 4.2.1; CPE cpe:2.3:o:vireo:cp-7_dock_firmware:4.2.0 and cpe:2.3:a:vireo:cp-7_integration_service:4.2.1</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Vulnerability</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CVE-2026-111943, CVE-2026-111944 (eMudhra weak CA keys, AAA Certificate Services cross-sign)</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Status</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Affected (product level). Per connection: D2 affected, D6 affected, D3 affected with a compensating control, D1, D4, D5 not affected</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Justification (not affected connections)</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D1: component not present (no TLS). D4: inline mitigations already exist (platform distrust). D5: vulnerable code not in execute path (private CA only, public bundle not consulted)</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Impact statement</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An attacker on the network path can intercept and alter telemetry and threshold pushes on D2 and HL7 messages on D6 as shipped. D3 transport is interceptable but a forged image is rejected by the pump's Ed25519 check. No path to pump commands was found.</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Action statement</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Release 4.2.2 removes the public roots from the dock's OpenSSL and Java clients and pins the Vireo cloud and customer EHR gateway SPKIs; hard-fail revocation enabled. Until installed: isolate docks on the clinical device VLAN and apply customer notification VM-CN-2026-11.</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Action statement timestamp</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2026-10-24</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Exploitability under context</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Directly exploitable on any network where an attacker can occupy the path to the cloud or the EHR gateway (hospital Wi-Fi, home Wi-Fi, upstream provider). Not exploitable on D4 and D5. Conditional on D3.</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Evidence</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TC-EM-01-D2, TC-EM-01-D3, TC-EM-01-D4, TC-EM-01-D6 (discovery); TC-EM-01-D2-V, TC-EM-01-D6-V, TC-EM-01-D3-V (verification); ELTON report ELT-VM-2026-10-CP7</w:t>
            </w:r>
          </w:p>
        </w:tc>
      </w:tr>
    </w:tbl>
    <w:p>
      <w:pPr>
        <w:pStyle w:val="Heading1"/>
        <w:keepNext/>
        <w:spacing w:after="120" w:before="320"/>
      </w:pPr>
      <w:r>
        <w:rPr>
          <w:rFonts w:ascii="Calibri" w:cs="Calibri" w:eastAsia="Calibri" w:hAnsi="Calibri"/>
          <w:b/>
          <w:bCs/>
          <w:color w:val="5B4FE1"/>
          <w:sz w:val="30"/>
          <w:szCs w:val="30"/>
        </w:rPr>
        <w:t xml:space="preserve">11. Remediation and fix status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00"/>
        <w:gridCol w:w="7080"/>
      </w:tblGrid>
      <w:tr>
        <w:trPr>
          <w:tblHeader/>
        </w:trPr>
        <w:tc>
          <w:tcPr>
            <w:tcW w:type="dxa" w:w="30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Item</w:t>
            </w:r>
          </w:p>
        </w:tc>
        <w:tc>
          <w:tcPr>
            <w:tcW w:type="dxa" w:w="708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Detail</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Fix</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Release 4.2.2 (dock firmware 4.2.2, integration service 4.2.2): emSign ECC Root CA - G3, emSign Root TLS CA - G3, the eight intermediates and AAA Certificate Services removed from the dock OS bundle and from cacerts; each client restricted to the one CA its server uses (Vireo Cloud Issuing CA G2 for D2 and D3; the customer's EHR gateway CA, configured at install, for D6).</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Class mitigation</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SPKI pinning on D2, D3 and D6 with a backup pin and rotation procedure VM-SOP-0112; hard-fail OCSP on the Java client; D2 and D3 moved to mutual TLS under the Vireo private CA in release 4.3 (Q1 2027).</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Status</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Implemented. 4.2.2 built October 23, verified October 24 (section 12.2), released to the fleet October 27, 2026 as an out-of-cycle update under VM-PMP-0071 section 6. Fleet uptake tracked in the postmarket dashboard; 61 percent installed as of November 3.</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Compensating controls until installed</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Docks placed on the clinical device VLAN with egress only to Vireo cloud addresses (customer bulletin VM-CN-2026-11); cloud-side monitoring for TLS sessions negotiated with unexpected cipher or chain fingerprints; home-infusion units updated first.</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Customer communication</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VM-CN-2026-11 sent October 24, 2026 to all CP-7 customers through the Vireo customer portal and the Health-ISAC manufacturer channel; this statement attached.</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Regulatory record</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VM-PMP-0071 rev B section 6 (out-of-cycle patch); CP-7 premarket supplement S-014, cybersecurity section 7, references this statement and ELT-VM-2026-10-CP7.</w:t>
            </w:r>
          </w:p>
        </w:tc>
      </w:tr>
    </w:tbl>
    <w:p>
      <w:pPr>
        <w:pStyle w:val="Heading1"/>
        <w:keepNext/>
        <w:spacing w:after="120" w:before="320"/>
      </w:pPr>
      <w:r>
        <w:rPr>
          <w:rFonts w:ascii="Calibri" w:cs="Calibri" w:eastAsia="Calibri" w:hAnsi="Calibri"/>
          <w:b/>
          <w:bCs/>
          <w:color w:val="5B4FE1"/>
          <w:sz w:val="30"/>
          <w:szCs w:val="30"/>
        </w:rPr>
        <w:t xml:space="preserve">12. Test cases</w:t>
      </w:r>
    </w:p>
    <w:p>
      <w:pPr>
        <w:spacing w:after="120" w:line="276"/>
      </w:pPr>
      <w:r>
        <w:rPr>
          <w:rFonts w:ascii="Calibri" w:cs="Calibri" w:eastAsia="Calibri" w:hAnsi="Calibri"/>
          <w:color w:val="14121F"/>
          <w:sz w:val="21"/>
          <w:szCs w:val="21"/>
        </w:rPr>
        <w:t xml:space="preserve">Two test cases per exposed connection: the one that found the exposure and the one that verifies the fix. The verification case is the discovery case run again against the updated build on the physical product through TestLink, so the closure is evidence that the attack is no longer possible rather than a note that a package changed.</w:t>
      </w:r>
    </w:p>
    <w:p>
      <w:pPr>
        <w:pStyle w:val="Heading2"/>
        <w:keepNext/>
        <w:spacing w:after="80" w:before="220"/>
      </w:pPr>
      <w:r>
        <w:rPr>
          <w:rFonts w:ascii="Calibri" w:cs="Calibri" w:eastAsia="Calibri" w:hAnsi="Calibri"/>
          <w:b/>
          <w:bCs/>
          <w:color w:val="14121F"/>
          <w:sz w:val="24"/>
          <w:szCs w:val="24"/>
        </w:rPr>
        <w:t xml:space="preserve">12.1 Discovery test case (D2 shown; D3, D4 and D6 follow the same form)</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00"/>
        <w:gridCol w:w="7080"/>
      </w:tblGrid>
      <w:tr>
        <w:trPr>
          <w:tblHeader/>
        </w:trPr>
        <w:tc>
          <w:tcPr>
            <w:tcW w:type="dxa" w:w="30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Field</w:t>
            </w:r>
          </w:p>
        </w:tc>
        <w:tc>
          <w:tcPr>
            <w:tcW w:type="dxa" w:w="708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Value</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Test case ID</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TC-EM-01-D2</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Objective</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Determine whether the dock's OpenSSL telemetry client accepts a forged chain through an eMudhra cross-signed intermediate for telemetry.vireo-cloud.example.</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Setup</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CP-7 dock on shipped build 4.2.0 with pump docked; TestLink TL-0418 on the lab Wi-Fi segment in an on-path position (ARP-level) between the dock and the cloud test tenant; forged leaf for telemetry.vireo-cloud.example signed with the recovered EM OV TLS CA - G3C key; chain presented as leaf, cross-signed intermediate, AAA Certificate Services.</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Steps</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1. Take the on-path position. 2. Wait for the 60-second telemetry interval. 3. Present the forged chain on the handshake. 4. Capture the handshake and application data. 5. Repeat with the OCSP responder unreachable to record soft-fail behaviour. 6. Repeat for the firmware client (D3) and the Java integration service (D6) with their hostnames.</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Pass criterion (not exposed)</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Client refuses the chain, with the refusal reason captured.</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Fail criterion (exposed)</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Client completes the handshake and sends application data to the test position.</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Result and evidence</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Fail (exposed). Handshake completed in 212 ms; 14 telemetry frames and one threshold push captured in plaintext at the test position (CAP-1021-07). Trust store contents EV-CP7-STORES-01; no revocation request observed; no pin. Executed October 21, 2026.</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Executed by</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ELTON pipeline run PR-88213; TestLink TL-0418; operator R. Mehta (ELTON), witnessed by A. Okafor (Vireo)</w:t>
            </w:r>
          </w:p>
        </w:tc>
      </w:tr>
    </w:tbl>
    <w:p>
      <w:pPr>
        <w:spacing w:after="60" w:line="276"/>
      </w:pPr>
      <w:r>
        <w:rPr>
          <w:rFonts w:ascii="Calibri" w:cs="Calibri" w:eastAsia="Calibri" w:hAnsi="Calibri"/>
          <w:color w:val="14121F"/>
          <w:sz w:val="21"/>
          <w:szCs w:val="21"/>
        </w:rPr>
        <w:t xml:space="preserve"/>
      </w:r>
    </w:p>
    <w:p>
      <w:pPr>
        <w:pStyle w:val="Heading2"/>
        <w:keepNext/>
        <w:spacing w:after="80" w:before="220"/>
      </w:pPr>
      <w:r>
        <w:rPr>
          <w:rFonts w:ascii="Calibri" w:cs="Calibri" w:eastAsia="Calibri" w:hAnsi="Calibri"/>
          <w:b/>
          <w:bCs/>
          <w:color w:val="14121F"/>
          <w:sz w:val="24"/>
          <w:szCs w:val="24"/>
        </w:rPr>
        <w:t xml:space="preserve">12.2 Verification test case (after the fix)</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00"/>
        <w:gridCol w:w="7080"/>
      </w:tblGrid>
      <w:tr>
        <w:trPr>
          <w:tblHeader/>
        </w:trPr>
        <w:tc>
          <w:tcPr>
            <w:tcW w:type="dxa" w:w="30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Field</w:t>
            </w:r>
          </w:p>
        </w:tc>
        <w:tc>
          <w:tcPr>
            <w:tcW w:type="dxa" w:w="708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Value</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Test case ID</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TC-EM-01-D2-V</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Objective</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Verify on dock build 4.2.2 that the forged chain is refused and that the restricted trust store, the SPKI pin and hard-fail revocation are enforced on the telemetry client.</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Setup</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Dock updated to 4.2.2 through the normal update channel (D3) with pump docked; same test position, forged chain and cloud test tenant as TC-EM-01-D2; plus a valid chain from Vireo Cloud Issuing CA G2 and a chain from an unrelated public CA (DigiCert test leaf).</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Steps</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1. Run TC-EM-01-D2 unchanged. 2. Present the unrelated public CA chain. 3. Present the legitimate Vireo chain and confirm telemetry resumes. 4. Rotate the server to the backup pin per VM-SOP-0112 and confirm continuity. 5. Block the OCSP responder and confirm the client fails closed.</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Pass criterion</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Forged and unrelated chains refused; legitimate chain accepted; rotation works; OCSP block produces a refused connection and a logged alarm; evidence captured.</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Result and evidence</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Pass. Forged chain refused (X509_V_ERR_UNABLE_TO_GET_ISSUER_CERT_LOCALLY, CAP-1024-02); unrelated chain refused (pin mismatch logged); legitimate chain accepted, telemetry resumed in 4 s; backup pin rotation succeeded; OCSP block produced a refused connection and alarm E-731. Verdict for D2 updated to Mitigated weakness in the ELTON finding record FR-CP7-2026-0419 on October 24, 2026. D6 (TC-EM-01-D6-V) and D3 (TC-EM-01-D3-V) passed the same day.</w:t>
            </w:r>
          </w:p>
        </w:tc>
      </w:tr>
      <w:tr>
        <w:tc>
          <w:tcPr>
            <w:tcW w:type="dxa" w:w="30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Executed by</w:t>
            </w:r>
          </w:p>
        </w:tc>
        <w:tc>
          <w:tcPr>
            <w:tcW w:type="dxa" w:w="70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ELTON pipeline run PR-88377; TestLink TL-0418; operator R. Mehta (ELTON), witnessed by A. Okafor (Vireo)</w:t>
            </w:r>
          </w:p>
        </w:tc>
      </w:tr>
    </w:tbl>
    <w:p>
      <w:pPr>
        <w:pStyle w:val="Heading1"/>
        <w:keepNext/>
        <w:spacing w:after="120" w:before="320"/>
      </w:pPr>
      <w:r>
        <w:rPr>
          <w:rFonts w:ascii="Calibri" w:cs="Calibri" w:eastAsia="Calibri" w:hAnsi="Calibri"/>
          <w:b/>
          <w:bCs/>
          <w:color w:val="5B4FE1"/>
          <w:sz w:val="30"/>
          <w:szCs w:val="30"/>
        </w:rPr>
        <w:t xml:space="preserve">13. Summary and approval</w:t>
      </w:r>
    </w:p>
    <w:p>
      <w:pPr>
        <w:spacing w:after="120" w:line="276"/>
      </w:pPr>
      <w:r>
        <w:rPr>
          <w:rFonts w:ascii="Calibri" w:cs="Calibri" w:eastAsia="Calibri" w:hAnsi="Calibri"/>
          <w:color w:val="14121F"/>
          <w:sz w:val="21"/>
          <w:szCs w:val="21"/>
        </w:rPr>
        <w:t xml:space="preserve">Six connections on the Vireo CP-7 4.2.1 were assessed. Two were directly exploitable as shipped (D2 dock telemetry, D6 EHR integration), one was conditionally exploitable on the firmware image signature (D3), and three were not affected (D1, D4, D5), each with a documented reason. Release 4.2.2 removes the public roots from both affected clients, pins the server keys and enables hard-fail revocation; it was verified on the physical product on October 24, 2026 by rerunning the discovery test cases, and released to the fleet on October 27 as an out-of-cycle update. All three findings now carry the verdict Mitigated weakness with the retest evidence attached. The VEX statement in section 10 was published to customers with bulletin VM-CN-2026-11 and exported in CycloneDX 1.6 to the Vireo SBOM portal.</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2800"/>
        <w:gridCol w:w="2800"/>
        <w:gridCol w:w="1680"/>
      </w:tblGrid>
      <w:tr>
        <w:trPr>
          <w:tblHeader/>
        </w:trPr>
        <w:tc>
          <w:tcPr>
            <w:tcW w:type="dxa" w:w="28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Role</w:t>
            </w:r>
          </w:p>
        </w:tc>
        <w:tc>
          <w:tcPr>
            <w:tcW w:type="dxa" w:w="28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Name</w:t>
            </w:r>
          </w:p>
        </w:tc>
        <w:tc>
          <w:tcPr>
            <w:tcW w:type="dxa" w:w="280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Signature</w:t>
            </w:r>
          </w:p>
        </w:tc>
        <w:tc>
          <w:tcPr>
            <w:tcW w:type="dxa" w:w="1680"/>
            <w:tcBorders>
              <w:top w:val="single" w:color="C9C3DE" w:sz="4"/>
              <w:left w:val="single" w:color="C9C3DE" w:sz="4"/>
              <w:bottom w:val="single" w:color="C9C3DE" w:sz="4"/>
              <w:right w:val="single" w:color="C9C3DE" w:sz="4"/>
            </w:tcBorders>
            <w:shd w:fill="EEEBFB" w:color="auto" w:val="clear"/>
            <w:tcMar>
              <w:top w:type="dxa" w:w="70"/>
              <w:left w:type="dxa" w:w="100"/>
              <w:bottom w:type="dxa" w:w="70"/>
              <w:right w:type="dxa" w:w="100"/>
            </w:tcMar>
          </w:tcPr>
          <w:p>
            <w:pPr>
              <w:spacing w:after="0" w:line="260"/>
            </w:pPr>
            <w:r>
              <w:rPr>
                <w:rFonts w:ascii="Calibri" w:cs="Calibri" w:eastAsia="Calibri" w:hAnsi="Calibri"/>
                <w:b/>
                <w:bCs/>
                <w:color w:val="14121F"/>
                <w:sz w:val="19"/>
                <w:szCs w:val="19"/>
              </w:rPr>
              <w:t xml:space="preserve">Date</w:t>
            </w:r>
          </w:p>
        </w:tc>
      </w:tr>
      <w:tr>
        <w:tc>
          <w:tcPr>
            <w:tcW w:type="dxa" w:w="2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Product security lead</w:t>
            </w:r>
          </w:p>
        </w:tc>
        <w:tc>
          <w:tcPr>
            <w:tcW w:type="dxa" w:w="2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A. Okafor</w:t>
            </w:r>
          </w:p>
        </w:tc>
        <w:tc>
          <w:tcPr>
            <w:tcW w:type="dxa" w:w="2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signed</w:t>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2026-10-24</w:t>
            </w:r>
          </w:p>
        </w:tc>
      </w:tr>
      <w:tr>
        <w:tc>
          <w:tcPr>
            <w:tcW w:type="dxa" w:w="2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Quality / regulatory</w:t>
            </w:r>
          </w:p>
        </w:tc>
        <w:tc>
          <w:tcPr>
            <w:tcW w:type="dxa" w:w="2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M. Lindqvist</w:t>
            </w:r>
          </w:p>
        </w:tc>
        <w:tc>
          <w:tcPr>
            <w:tcW w:type="dxa" w:w="2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signed</w:t>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2026-10-24</w:t>
            </w:r>
          </w:p>
        </w:tc>
      </w:tr>
      <w:tr>
        <w:tc>
          <w:tcPr>
            <w:tcW w:type="dxa" w:w="2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Engineering owner</w:t>
            </w:r>
          </w:p>
        </w:tc>
        <w:tc>
          <w:tcPr>
            <w:tcW w:type="dxa" w:w="2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J. Petrov</w:t>
            </w:r>
          </w:p>
        </w:tc>
        <w:tc>
          <w:tcPr>
            <w:tcW w:type="dxa" w:w="280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signed</w:t>
            </w:r>
          </w:p>
        </w:tc>
        <w:tc>
          <w:tcPr>
            <w:tcW w:type="dxa" w:w="1680"/>
            <w:tcBorders>
              <w:top w:val="single" w:color="C9C3DE" w:sz="4"/>
              <w:left w:val="single" w:color="C9C3DE" w:sz="4"/>
              <w:bottom w:val="single" w:color="C9C3DE" w:sz="4"/>
              <w:right w:val="single" w:color="C9C3DE" w:sz="4"/>
            </w:tcBorders>
            <w:tcMar>
              <w:top w:type="dxa" w:w="70"/>
              <w:left w:type="dxa" w:w="100"/>
              <w:bottom w:type="dxa" w:w="70"/>
              <w:right w:type="dxa" w:w="100"/>
            </w:tcMar>
          </w:tcPr>
          <w:p>
            <w:pPr>
              <w:spacing w:after="0" w:line="260"/>
            </w:pPr>
            <w:r>
              <w:rPr>
                <w:rFonts w:ascii="Calibri" w:cs="Calibri" w:eastAsia="Calibri" w:hAnsi="Calibri"/>
                <w:color w:val="14121F"/>
                <w:sz w:val="19"/>
                <w:szCs w:val="19"/>
              </w:rPr>
              <w:t xml:space="preserve">2026-10-24</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pPr>
    <w:r>
      <w:rPr>
        <w:rFonts w:ascii="Calibri" w:cs="Calibri" w:eastAsia="Calibri" w:hAnsi="Calibri"/>
        <w:color w:val="595959"/>
        <w:sz w:val="16"/>
        <w:szCs w:val="16"/>
      </w:rPr>
      <w:t xml:space="preserve">ELTON Cyber  |  Vulnerability Disclosure Statement, completed example on a fictional product  |  eltoncyber.com</w:t>
    </w:r>
    <w:r>
      <w:rPr>
        <w:rFonts w:ascii="Calibri" w:cs="Calibri" w:eastAsia="Calibri" w:hAnsi="Calibri"/>
        <w:color w:val="595959"/>
        <w:sz w:val="16"/>
        <w:szCs w:val="16"/>
      </w:rPr>
      <w:t xml:space="preserve">	Page </w:t>
    </w:r>
    <w:r>
      <w:rPr>
        <w:rFonts w:ascii="Calibri" w:cs="Calibri" w:eastAsia="Calibri" w:hAnsi="Calibri"/>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121F"/>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2115bc073511d29a5cbad834eb29071b94780034.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Vulnerability Disclosure Statement, completed example: eMudhra weak CA keys</dc:title>
  <dc:creator>ELTON Cyber</dc:creator>
  <cp:lastModifiedBy>Un-named</cp:lastModifiedBy>
  <cp:revision>1</cp:revision>
  <dcterms:created xsi:type="dcterms:W3CDTF">2026-10-27T17:20:38.419Z</dcterms:created>
  <dcterms:modified xsi:type="dcterms:W3CDTF">2026-10-27T17:20:38.419Z</dcterms:modified>
</cp:coreProperties>
</file>

<file path=docProps/custom.xml><?xml version="1.0" encoding="utf-8"?>
<Properties xmlns="http://schemas.openxmlformats.org/officeDocument/2006/custom-properties" xmlns:vt="http://schemas.openxmlformats.org/officeDocument/2006/docPropsVTypes"/>
</file>