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0F4761" w:sz="18"/>
              <w:left w:val="single" w:color="C9C3DE" w:sz="4"/>
              <w:bottom w:val="single" w:color="0F4761" w:sz="18"/>
              <w:right w:val="single" w:color="C9C3DE" w:sz="4"/>
            </w:tcBorders>
            <w:tcMar>
              <w:top w:type="dxa" w:w="400"/>
              <w:left w:type="dxa" w:w="440"/>
              <w:bottom w:type="dxa" w:w="400"/>
              <w:right w:type="dxa" w:w="440"/>
            </w:tcMar>
          </w:tcPr>
          <w:p>
            <w:pPr>
              <w:spacing w:after="80" w:line="276"/>
            </w:pPr>
            <w:r>
              <w:rPr>
                <w:rFonts w:ascii="Calibri" w:cs="Calibri" w:eastAsia="Calibri" w:hAnsi="Calibri"/>
                <w:b/>
                <w:bCs/>
                <w:color w:val="0F4761"/>
                <w:sz w:val="36"/>
                <w:szCs w:val="36"/>
              </w:rPr>
              <w:t xml:space="preserve">VULNERABILITY DISCLOSURE STATEMENT</w:t>
            </w:r>
          </w:p>
          <w:p>
            <w:pPr>
              <w:spacing w:after="80" w:line="276"/>
            </w:pPr>
            <w:r>
              <w:rPr>
                <w:rFonts w:ascii="Calibri" w:cs="Calibri" w:eastAsia="Calibri" w:hAnsi="Calibri"/>
                <w:b/>
                <w:bCs/>
                <w:color w:val="14121F"/>
                <w:sz w:val="26"/>
                <w:szCs w:val="26"/>
              </w:rPr>
              <w:t xml:space="preserve">eMudhra weak CA keys (CVE-2026-111943, CVE-2026-111944)</w:t>
            </w:r>
          </w:p>
          <w:p>
            <w:pPr>
              <w:spacing w:after="360" w:line="276"/>
            </w:pPr>
            <w:r>
              <w:rPr>
                <w:rFonts w:ascii="Calibri" w:cs="Calibri" w:eastAsia="Calibri" w:hAnsi="Calibri"/>
                <w:color w:val="595959"/>
                <w:sz w:val="22"/>
                <w:szCs w:val="22"/>
              </w:rPr>
              <w:t xml:space="preserve">Exposure determination, exploitability verdict, VEX, remediation and test cases</w:t>
            </w:r>
          </w:p>
          <w:p>
            <w:pPr>
              <w:spacing w:after="200" w:line="276"/>
            </w:pPr>
            <w:r>
              <w:rPr>
                <w:rFonts w:ascii="Calibri" w:cs="Calibri" w:eastAsia="Calibri" w:hAnsi="Calibri"/>
                <w:color w:val="595959"/>
                <w:sz w:val="21"/>
                <w:szCs w:val="21"/>
              </w:rPr>
              <w:t xml:space="preserve">Document Template</w:t>
            </w:r>
          </w:p>
          <w:p>
            <w:pPr>
              <w:spacing w:after="80" w:line="276"/>
            </w:pPr>
            <w:r>
              <w:rPr>
                <w:rFonts w:ascii="Calibri" w:cs="Calibri" w:eastAsia="Calibri" w:hAnsi="Calibri"/>
                <w:b/>
                <w:bCs/>
                <w:color w:val="14121F"/>
                <w:sz w:val="21"/>
                <w:szCs w:val="21"/>
              </w:rPr>
              <w:t xml:space="preserve">Product and release: </w:t>
            </w:r>
            <w:r>
              <w:rPr>
                <w:rFonts w:ascii="Calibri" w:cs="Calibri" w:eastAsia="Calibri" w:hAnsi="Calibri"/>
                <w:color w:val="14121F"/>
                <w:sz w:val="21"/>
                <w:szCs w:val="21"/>
              </w:rPr>
              <w:t xml:space="preserve">______________________________</w:t>
            </w:r>
          </w:p>
          <w:p>
            <w:pPr>
              <w:spacing w:after="80" w:line="276"/>
            </w:pPr>
            <w:r>
              <w:rPr>
                <w:rFonts w:ascii="Calibri" w:cs="Calibri" w:eastAsia="Calibri" w:hAnsi="Calibri"/>
                <w:b/>
                <w:bCs/>
                <w:color w:val="14121F"/>
                <w:sz w:val="21"/>
                <w:szCs w:val="21"/>
              </w:rPr>
              <w:t xml:space="preserve">Company: </w:t>
            </w:r>
            <w:r>
              <w:rPr>
                <w:rFonts w:ascii="Calibri" w:cs="Calibri" w:eastAsia="Calibri" w:hAnsi="Calibri"/>
                <w:color w:val="14121F"/>
                <w:sz w:val="21"/>
                <w:szCs w:val="21"/>
              </w:rPr>
              <w:t xml:space="preserve">______________________________</w:t>
            </w:r>
          </w:p>
          <w:p>
            <w:pPr>
              <w:spacing w:after="80" w:line="276"/>
            </w:pPr>
            <w:r>
              <w:rPr>
                <w:rFonts w:ascii="Calibri" w:cs="Calibri" w:eastAsia="Calibri" w:hAnsi="Calibri"/>
                <w:b/>
                <w:bCs/>
                <w:color w:val="14121F"/>
                <w:sz w:val="21"/>
                <w:szCs w:val="21"/>
              </w:rPr>
              <w:t xml:space="preserve">Document version: </w:t>
            </w:r>
            <w:r>
              <w:rPr>
                <w:rFonts w:ascii="Calibri" w:cs="Calibri" w:eastAsia="Calibri" w:hAnsi="Calibri"/>
                <w:color w:val="14121F"/>
                <w:sz w:val="21"/>
                <w:szCs w:val="21"/>
              </w:rPr>
              <w:t xml:space="preserve">1.0</w:t>
            </w:r>
          </w:p>
          <w:p>
            <w:pPr>
              <w:spacing w:after="80" w:line="276"/>
            </w:pPr>
            <w:r>
              <w:rPr>
                <w:rFonts w:ascii="Calibri" w:cs="Calibri" w:eastAsia="Calibri" w:hAnsi="Calibri"/>
                <w:b/>
                <w:bCs/>
                <w:color w:val="14121F"/>
                <w:sz w:val="21"/>
                <w:szCs w:val="21"/>
              </w:rPr>
              <w:t xml:space="preserve">Date: </w:t>
            </w:r>
            <w:r>
              <w:rPr>
                <w:rFonts w:ascii="Calibri" w:cs="Calibri" w:eastAsia="Calibri" w:hAnsi="Calibri"/>
                <w:color w:val="14121F"/>
                <w:sz w:val="21"/>
                <w:szCs w:val="21"/>
              </w:rPr>
              <w:t xml:space="preserve">______________________________</w:t>
            </w:r>
          </w:p>
          <w:p>
            <w:pPr>
              <w:spacing w:after="80" w:line="276"/>
            </w:pPr>
            <w:r>
              <w:rPr>
                <w:rFonts w:ascii="Calibri" w:cs="Calibri" w:eastAsia="Calibri" w:hAnsi="Calibri"/>
                <w:b/>
                <w:bCs/>
                <w:color w:val="14121F"/>
                <w:sz w:val="21"/>
                <w:szCs w:val="21"/>
              </w:rPr>
              <w:t xml:space="preserve">Prepared by: </w:t>
            </w:r>
            <w:r>
              <w:rPr>
                <w:rFonts w:ascii="Calibri" w:cs="Calibri" w:eastAsia="Calibri" w:hAnsi="Calibri"/>
                <w:color w:val="14121F"/>
                <w:sz w:val="21"/>
                <w:szCs w:val="21"/>
              </w:rPr>
              <w:t xml:space="preserve">______________________________</w:t>
            </w:r>
          </w:p>
          <w:p>
            <w:pPr>
              <w:spacing w:after="80" w:line="276"/>
            </w:pPr>
            <w:r>
              <w:rPr>
                <w:rFonts w:ascii="Calibri" w:cs="Calibri" w:eastAsia="Calibri" w:hAnsi="Calibri"/>
                <w:b/>
                <w:bCs/>
                <w:color w:val="14121F"/>
                <w:sz w:val="21"/>
                <w:szCs w:val="21"/>
              </w:rPr>
              <w:t xml:space="preserve">Approved by: </w:t>
            </w:r>
            <w:r>
              <w:rPr>
                <w:rFonts w:ascii="Calibri" w:cs="Calibri" w:eastAsia="Calibri" w:hAnsi="Calibri"/>
                <w:color w:val="14121F"/>
                <w:sz w:val="21"/>
                <w:szCs w:val="21"/>
              </w:rPr>
              <w:t xml:space="preserve">______________________________</w:t>
            </w:r>
          </w:p>
          <w:p>
            <w:pPr>
              <w:spacing w:after="60" w:line="276"/>
            </w:pPr>
            <w:r>
              <w:rPr>
                <w:rFonts w:ascii="Calibri" w:cs="Calibri" w:eastAsia="Calibri" w:hAnsi="Calibri"/>
                <w:color w:val="14121F"/>
                <w:sz w:val="21"/>
                <w:szCs w:val="21"/>
              </w:rPr>
              <w:t xml:space="preserve"/>
            </w:r>
          </w:p>
          <w:p>
            <w:pPr>
              <w:spacing w:after="0" w:line="276"/>
            </w:pPr>
            <w:r>
              <w:rPr>
                <w:rFonts w:ascii="Calibri" w:cs="Calibri" w:eastAsia="Calibri" w:hAnsi="Calibri"/>
                <w:color w:val="595959"/>
                <w:sz w:val="19"/>
                <w:szCs w:val="19"/>
              </w:rPr>
              <w:t xml:space="preserve">Template provided for manufacturer use. Replace this line with the company's document control block.</w:t>
            </w:r>
          </w:p>
        </w:tc>
      </w:tr>
    </w:tbl>
    <w:p>
      <w:r>
        <w:br w:type="page"/>
      </w:r>
    </w:p>
    <w:p>
      <w:pPr>
        <w:pStyle w:val="Heading1"/>
        <w:keepNext/>
        <w:spacing w:after="120" w:before="320"/>
      </w:pPr>
      <w:r>
        <w:rPr>
          <w:rFonts w:ascii="Calibri" w:cs="Calibri" w:eastAsia="Calibri" w:hAnsi="Calibri"/>
          <w:b/>
          <w:bCs/>
          <w:color w:val="0F4761"/>
          <w:sz w:val="30"/>
          <w:szCs w:val="30"/>
        </w:rPr>
        <w:t xml:space="preserve">How to use this template</w:t>
      </w:r>
    </w:p>
    <w:p>
      <w:pPr>
        <w:spacing w:after="120" w:line="276"/>
      </w:pPr>
      <w:r>
        <w:rPr>
          <w:rFonts w:ascii="Calibri" w:cs="Calibri" w:eastAsia="Calibri" w:hAnsi="Calibri"/>
          <w:color w:val="14121F"/>
          <w:sz w:val="21"/>
          <w:szCs w:val="21"/>
        </w:rPr>
        <w:t xml:space="preserve">Fill one statement per product release. Replace every bracketed field. Rows marked "e.g." are illustrative and should be deleted or overwritten. Sections 5 through 10 are the disclosure a customer, a regulator or an auditor reads; sections 11 and 12 are the evidence that the disposition was reached by test, not by a version check.</w:t>
      </w:r>
    </w:p>
    <w:p>
      <w:pPr>
        <w:spacing w:after="120" w:line="276"/>
      </w:pPr>
      <w:r>
        <w:rPr>
          <w:rFonts w:ascii="Calibri" w:cs="Calibri" w:eastAsia="Calibri" w:hAnsi="Calibri"/>
          <w:color w:val="14121F"/>
          <w:sz w:val="21"/>
          <w:szCs w:val="21"/>
        </w:rPr>
        <w:t xml:space="preserve">The structure holds whether the work was done in house or by an outside test partner. Keep the evidence references so every disposition can be traced to a test.</w:t>
      </w:r>
    </w:p>
    <w:p>
      <w:pPr>
        <w:pStyle w:val="Heading1"/>
        <w:keepNext/>
        <w:spacing w:after="120" w:before="320"/>
      </w:pPr>
      <w:r>
        <w:rPr>
          <w:rFonts w:ascii="Calibri" w:cs="Calibri" w:eastAsia="Calibri" w:hAnsi="Calibri"/>
          <w:b/>
          <w:bCs/>
          <w:color w:val="0F4761"/>
          <w:sz w:val="30"/>
          <w:szCs w:val="30"/>
        </w:rPr>
        <w:t xml:space="preserve">1. Purpose</w:t>
      </w:r>
    </w:p>
    <w:p>
      <w:pPr>
        <w:spacing w:after="120" w:line="276"/>
      </w:pPr>
      <w:r>
        <w:rPr>
          <w:rFonts w:ascii="Calibri" w:cs="Calibri" w:eastAsia="Calibri" w:hAnsi="Calibri"/>
          <w:color w:val="14121F"/>
          <w:sz w:val="21"/>
          <w:szCs w:val="21"/>
        </w:rPr>
        <w:t xml:space="preserve">This document records how [Company] determined whether [Product, Release] is affected by the eMudhra weak certificate authority keys, which connections carry the exposure and under what conditions, the exploitability verdict per connection, the VEX statement, the remediation and its status, and the test cases used to find the exposure and to verify the fix. It is written to satisfy the postmarket vulnerability management expectations of Section 524B of the FD&amp;C Act and to be attached to a premarket submission or a customer notification without rework.</w:t>
      </w:r>
    </w:p>
    <w:p>
      <w:pPr>
        <w:pStyle w:val="Heading1"/>
        <w:keepNext/>
        <w:spacing w:after="120" w:before="320"/>
      </w:pPr>
      <w:r>
        <w:rPr>
          <w:rFonts w:ascii="Calibri" w:cs="Calibri" w:eastAsia="Calibri" w:hAnsi="Calibri"/>
          <w:b/>
          <w:bCs/>
          <w:color w:val="0F4761"/>
          <w:sz w:val="30"/>
          <w:szCs w:val="30"/>
        </w:rPr>
        <w:t xml:space="preserve">2. Scope</w:t>
      </w:r>
    </w:p>
    <w:p>
      <w:pPr>
        <w:spacing w:after="120" w:line="276"/>
      </w:pPr>
      <w:r>
        <w:rPr>
          <w:rFonts w:ascii="Calibri" w:cs="Calibri" w:eastAsia="Calibri" w:hAnsi="Calibri"/>
          <w:color w:val="14121F"/>
          <w:sz w:val="21"/>
          <w:szCs w:val="21"/>
        </w:rPr>
        <w:t xml:space="preserve">In scope: every TLS client on [Product, Release], on every component (device, dock or gateway, companion application, service tooling, cloud backend), and every dataflow those clients carry. Out of scope: [list excluded components and the reason, for example a component with no outbound TLS].</w:t>
      </w:r>
    </w:p>
    <w:p>
      <w:pPr>
        <w:pStyle w:val="Heading1"/>
        <w:keepNext/>
        <w:spacing w:after="120" w:before="320"/>
      </w:pPr>
      <w:r>
        <w:rPr>
          <w:rFonts w:ascii="Calibri" w:cs="Calibri" w:eastAsia="Calibri" w:hAnsi="Calibri"/>
          <w:b/>
          <w:bCs/>
          <w:color w:val="0F4761"/>
          <w:sz w:val="30"/>
          <w:szCs w:val="30"/>
        </w:rPr>
        <w:t xml:space="preserve">3. References</w:t>
      </w:r>
    </w:p>
    <w:p>
      <w:pPr>
        <w:pStyle w:val="Heading2"/>
        <w:keepNext/>
        <w:spacing w:after="80" w:before="220"/>
      </w:pPr>
      <w:r>
        <w:rPr>
          <w:rFonts w:ascii="Calibri" w:cs="Calibri" w:eastAsia="Calibri" w:hAnsi="Calibri"/>
          <w:b/>
          <w:bCs/>
          <w:color w:val="14121F"/>
          <w:sz w:val="24"/>
          <w:szCs w:val="24"/>
        </w:rPr>
        <w:t xml:space="preserve">Internal</w:t>
      </w:r>
    </w:p>
    <w:p>
      <w:pPr>
        <w:pStyle w:val="ListParagraph"/>
        <w:numPr>
          <w:ilvl w:val="0"/>
          <w:numId w:val="2"/>
        </w:numPr>
        <w:spacing w:after="60" w:line="276"/>
      </w:pPr>
      <w:r>
        <w:rPr>
          <w:rFonts w:ascii="Calibri" w:cs="Calibri" w:eastAsia="Calibri" w:hAnsi="Calibri"/>
          <w:color w:val="14121F"/>
          <w:sz w:val="21"/>
          <w:szCs w:val="21"/>
        </w:rPr>
        <w:t xml:space="preserve">[Product threat model and architectural views]</w:t>
      </w:r>
    </w:p>
    <w:p>
      <w:pPr>
        <w:pStyle w:val="ListParagraph"/>
        <w:numPr>
          <w:ilvl w:val="0"/>
          <w:numId w:val="2"/>
        </w:numPr>
        <w:spacing w:after="60" w:line="276"/>
      </w:pPr>
      <w:r>
        <w:rPr>
          <w:rFonts w:ascii="Calibri" w:cs="Calibri" w:eastAsia="Calibri" w:hAnsi="Calibri"/>
          <w:color w:val="14121F"/>
          <w:sz w:val="21"/>
          <w:szCs w:val="21"/>
        </w:rPr>
        <w:t xml:space="preserve">[Product software bill of materials, including CA bundles as components]</w:t>
      </w:r>
    </w:p>
    <w:p>
      <w:pPr>
        <w:pStyle w:val="ListParagraph"/>
        <w:numPr>
          <w:ilvl w:val="0"/>
          <w:numId w:val="2"/>
        </w:numPr>
        <w:spacing w:after="60" w:line="276"/>
      </w:pPr>
      <w:r>
        <w:rPr>
          <w:rFonts w:ascii="Calibri" w:cs="Calibri" w:eastAsia="Calibri" w:hAnsi="Calibri"/>
          <w:color w:val="14121F"/>
          <w:sz w:val="21"/>
          <w:szCs w:val="21"/>
        </w:rPr>
        <w:t xml:space="preserve">[Product cybersecurity risk assessment]</w:t>
      </w:r>
    </w:p>
    <w:p>
      <w:pPr>
        <w:pStyle w:val="ListParagraph"/>
        <w:numPr>
          <w:ilvl w:val="0"/>
          <w:numId w:val="2"/>
        </w:numPr>
        <w:spacing w:after="60" w:line="276"/>
      </w:pPr>
      <w:r>
        <w:rPr>
          <w:rFonts w:ascii="Calibri" w:cs="Calibri" w:eastAsia="Calibri" w:hAnsi="Calibri"/>
          <w:color w:val="14121F"/>
          <w:sz w:val="21"/>
          <w:szCs w:val="21"/>
        </w:rPr>
        <w:t xml:space="preserve">[Product cybersecurity testing report(s)]</w:t>
      </w:r>
    </w:p>
    <w:p>
      <w:pPr>
        <w:pStyle w:val="ListParagraph"/>
        <w:numPr>
          <w:ilvl w:val="0"/>
          <w:numId w:val="2"/>
        </w:numPr>
        <w:spacing w:after="60" w:line="276"/>
      </w:pPr>
      <w:r>
        <w:rPr>
          <w:rFonts w:ascii="Calibri" w:cs="Calibri" w:eastAsia="Calibri" w:hAnsi="Calibri"/>
          <w:color w:val="14121F"/>
          <w:sz w:val="21"/>
          <w:szCs w:val="21"/>
        </w:rPr>
        <w:t xml:space="preserve">[Postmarket cybersecurity management plan (524B)]</w:t>
      </w:r>
    </w:p>
    <w:p>
      <w:pPr>
        <w:pStyle w:val="Heading2"/>
        <w:keepNext/>
        <w:spacing w:after="80" w:before="220"/>
      </w:pPr>
      <w:r>
        <w:rPr>
          <w:rFonts w:ascii="Calibri" w:cs="Calibri" w:eastAsia="Calibri" w:hAnsi="Calibri"/>
          <w:b/>
          <w:bCs/>
          <w:color w:val="14121F"/>
          <w:sz w:val="24"/>
          <w:szCs w:val="24"/>
        </w:rPr>
        <w:t xml:space="preserve">External</w:t>
      </w:r>
    </w:p>
    <w:p>
      <w:pPr>
        <w:pStyle w:val="ListParagraph"/>
        <w:numPr>
          <w:ilvl w:val="0"/>
          <w:numId w:val="2"/>
        </w:numPr>
        <w:spacing w:after="60" w:line="276"/>
      </w:pPr>
      <w:r>
        <w:rPr>
          <w:rFonts w:ascii="Calibri" w:cs="Calibri" w:eastAsia="Calibri" w:hAnsi="Calibri"/>
          <w:color w:val="14121F"/>
          <w:sz w:val="21"/>
          <w:szCs w:val="21"/>
        </w:rPr>
        <w:t xml:space="preserve">Mozilla and Google Chrome Root Program incident reports on the eMudhra intermediate certificate authorities, October 17 to 20, 2026</w:t>
      </w:r>
    </w:p>
    <w:p>
      <w:pPr>
        <w:pStyle w:val="ListParagraph"/>
        <w:numPr>
          <w:ilvl w:val="0"/>
          <w:numId w:val="2"/>
        </w:numPr>
        <w:spacing w:after="60" w:line="276"/>
      </w:pPr>
      <w:r>
        <w:rPr>
          <w:rFonts w:ascii="Calibri" w:cs="Calibri" w:eastAsia="Calibri" w:hAnsi="Calibri"/>
          <w:color w:val="14121F"/>
          <w:sz w:val="21"/>
          <w:szCs w:val="21"/>
        </w:rPr>
        <w:t xml:space="preserve">Qualys, identifying compromised eMudhra certificates (CVE-2026-111943 and CVE-2026-111944), October 23, 2026</w:t>
      </w:r>
    </w:p>
    <w:p>
      <w:pPr>
        <w:pStyle w:val="ListParagraph"/>
        <w:numPr>
          <w:ilvl w:val="0"/>
          <w:numId w:val="2"/>
        </w:numPr>
        <w:spacing w:after="60" w:line="276"/>
      </w:pPr>
      <w:r>
        <w:rPr>
          <w:rFonts w:ascii="Calibri" w:cs="Calibri" w:eastAsia="Calibri" w:hAnsi="Calibri"/>
          <w:color w:val="14121F"/>
          <w:sz w:val="21"/>
          <w:szCs w:val="21"/>
        </w:rPr>
        <w:t xml:space="preserve">Red Hat Security Bulletin RHSB-2026-012; CERT-In advisory CIAD-2026-0050</w:t>
      </w:r>
    </w:p>
    <w:p>
      <w:pPr>
        <w:pStyle w:val="ListParagraph"/>
        <w:numPr>
          <w:ilvl w:val="0"/>
          <w:numId w:val="2"/>
        </w:numPr>
        <w:spacing w:after="60" w:line="276"/>
      </w:pPr>
      <w:r>
        <w:rPr>
          <w:rFonts w:ascii="Calibri" w:cs="Calibri" w:eastAsia="Calibri" w:hAnsi="Calibri"/>
          <w:color w:val="14121F"/>
          <w:sz w:val="21"/>
          <w:szCs w:val="21"/>
        </w:rPr>
        <w:t xml:space="preserve">FDA, Cybersecurity in Medical Devices: Quality System Considerations and Content of Premarket Submissions; Section 524B of the FD&amp;C Act</w:t>
      </w:r>
    </w:p>
    <w:p>
      <w:pPr>
        <w:pStyle w:val="ListParagraph"/>
        <w:numPr>
          <w:ilvl w:val="0"/>
          <w:numId w:val="2"/>
        </w:numPr>
        <w:spacing w:after="60" w:line="276"/>
      </w:pPr>
      <w:r>
        <w:rPr>
          <w:rFonts w:ascii="Calibri" w:cs="Calibri" w:eastAsia="Calibri" w:hAnsi="Calibri"/>
          <w:color w:val="14121F"/>
          <w:sz w:val="21"/>
          <w:szCs w:val="21"/>
        </w:rPr>
        <w:t xml:space="preserve">CISA, Vulnerability Exploitability eXchange (VEX) use cases and minimum requirements; CycloneDX and CSAF VEX profiles</w:t>
      </w:r>
    </w:p>
    <w:p>
      <w:pPr>
        <w:pStyle w:val="ListParagraph"/>
        <w:numPr>
          <w:ilvl w:val="0"/>
          <w:numId w:val="2"/>
        </w:numPr>
        <w:spacing w:after="60" w:line="276"/>
      </w:pPr>
      <w:r>
        <w:rPr>
          <w:rFonts w:ascii="Calibri" w:cs="Calibri" w:eastAsia="Calibri" w:hAnsi="Calibri"/>
          <w:color w:val="14121F"/>
          <w:sz w:val="21"/>
          <w:szCs w:val="21"/>
        </w:rPr>
        <w:t xml:space="preserve">[Vendor or test partner advisory used as the technical source]</w:t>
      </w:r>
    </w:p>
    <w:p>
      <w:pPr>
        <w:pStyle w:val="Heading1"/>
        <w:keepNext/>
        <w:spacing w:after="120" w:before="320"/>
      </w:pPr>
      <w:r>
        <w:rPr>
          <w:rFonts w:ascii="Calibri" w:cs="Calibri" w:eastAsia="Calibri" w:hAnsi="Calibri"/>
          <w:b/>
          <w:bCs/>
          <w:color w:val="0F4761"/>
          <w:sz w:val="30"/>
          <w:szCs w:val="30"/>
        </w:rPr>
        <w:t xml:space="preserve">4. Definitions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300"/>
        <w:gridCol w:w="7780"/>
      </w:tblGrid>
      <w:tr>
        <w:trPr>
          <w:tblHeader/>
        </w:trPr>
        <w:tc>
          <w:tcPr>
            <w:tcW w:type="dxa" w:w="2300"/>
            <w:tcBorders>
              <w:top w:val="single" w:color="C9C3DE" w:sz="4"/>
              <w:left w:val="single" w:color="C9C3DE" w:sz="4"/>
              <w:bottom w:val="single" w:color="C9C3DE" w:sz="4"/>
              <w:right w:val="single" w:color="C9C3DE" w:sz="4"/>
            </w:tcBorders>
            <w:shd w:fill="E8EEF4" w:color="auto" w:val="clear"/>
            <w:tcMar>
              <w:top w:type="dxa" w:w="70"/>
              <w:left w:type="dxa" w:w="100"/>
              <w:bottom w:type="dxa" w:w="70"/>
              <w:right w:type="dxa" w:w="100"/>
            </w:tcMar>
          </w:tcPr>
          <w:p>
            <w:pPr>
              <w:spacing w:after="0" w:line="260"/>
            </w:pPr>
            <w:r>
              <w:rPr>
                <w:rFonts w:ascii="Calibri" w:cs="Calibri" w:eastAsia="Calibri" w:hAnsi="Calibri"/>
                <w:b/>
                <w:bCs/>
                <w:color w:val="14121F"/>
                <w:sz w:val="19"/>
                <w:szCs w:val="19"/>
              </w:rPr>
              <w:t xml:space="preserve">Term</w:t>
            </w:r>
          </w:p>
        </w:tc>
        <w:tc>
          <w:tcPr>
            <w:tcW w:type="dxa" w:w="7780"/>
            <w:tcBorders>
              <w:top w:val="single" w:color="C9C3DE" w:sz="4"/>
              <w:left w:val="single" w:color="C9C3DE" w:sz="4"/>
              <w:bottom w:val="single" w:color="C9C3DE" w:sz="4"/>
              <w:right w:val="single" w:color="C9C3DE" w:sz="4"/>
            </w:tcBorders>
            <w:shd w:fill="E8EEF4" w:color="auto" w:val="clear"/>
            <w:tcMar>
              <w:top w:type="dxa" w:w="70"/>
              <w:left w:type="dxa" w:w="100"/>
              <w:bottom w:type="dxa" w:w="70"/>
              <w:right w:type="dxa" w:w="100"/>
            </w:tcMar>
          </w:tcPr>
          <w:p>
            <w:pPr>
              <w:spacing w:after="0" w:line="260"/>
            </w:pPr>
            <w:r>
              <w:rPr>
                <w:rFonts w:ascii="Calibri" w:cs="Calibri" w:eastAsia="Calibri" w:hAnsi="Calibri"/>
                <w:b/>
                <w:bCs/>
                <w:color w:val="14121F"/>
                <w:sz w:val="19"/>
                <w:szCs w:val="19"/>
              </w:rPr>
              <w:t xml:space="preserve">Definition</w:t>
            </w:r>
          </w:p>
        </w:tc>
      </w:tr>
      <w:tr>
        <w:tc>
          <w:tcPr>
            <w:tcW w:type="dxa" w:w="23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Entry vector</w:t>
            </w:r>
          </w:p>
        </w:tc>
        <w:tc>
          <w:tcPr>
            <w:tcW w:type="dxa" w:w="77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A position or capability an attacker starts from, outside the product's trust boundary (for example a position on the network path between the device and its server).</w:t>
            </w:r>
          </w:p>
        </w:tc>
      </w:tr>
      <w:tr>
        <w:tc>
          <w:tcPr>
            <w:tcW w:type="dxa" w:w="23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Precondition</w:t>
            </w:r>
          </w:p>
        </w:tc>
        <w:tc>
          <w:tcPr>
            <w:tcW w:type="dxa" w:w="77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A condition that must hold for the exploit to succeed, produced by the entry vector or by the product as shipped (for example a trust store that contains the cross-signed root, no revocation enforcement, no pin).</w:t>
            </w:r>
          </w:p>
        </w:tc>
      </w:tr>
      <w:tr>
        <w:tc>
          <w:tcPr>
            <w:tcW w:type="dxa" w:w="23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Postcondition</w:t>
            </w:r>
          </w:p>
        </w:tc>
        <w:tc>
          <w:tcPr>
            <w:tcW w:type="dxa" w:w="77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What the attacker holds after the exploit succeeds (for example a certificate the client accepts for any hostname, so every TLS session on that connection is readable and writable).</w:t>
            </w:r>
          </w:p>
        </w:tc>
      </w:tr>
      <w:tr>
        <w:tc>
          <w:tcPr>
            <w:tcW w:type="dxa" w:w="23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Directly exploitable</w:t>
            </w:r>
          </w:p>
        </w:tc>
        <w:tc>
          <w:tcPr>
            <w:tcW w:type="dxa" w:w="77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Reachable from an entry vector the attacker has, with every precondition met by the product as shipped, demonstrated on the real product with stored evidence.</w:t>
            </w:r>
          </w:p>
        </w:tc>
      </w:tr>
      <w:tr>
        <w:tc>
          <w:tcPr>
            <w:tcW w:type="dxa" w:w="23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Conditionally exploitable</w:t>
            </w:r>
          </w:p>
        </w:tc>
        <w:tc>
          <w:tcPr>
            <w:tcW w:type="dxa" w:w="77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Reachable only after another finding is exploited first, or only when a condition the product does not meet as shipped is introduced. The dependency is named.</w:t>
            </w:r>
          </w:p>
        </w:tc>
      </w:tr>
      <w:tr>
        <w:tc>
          <w:tcPr>
            <w:tcW w:type="dxa" w:w="23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Unexploitable weakness</w:t>
            </w:r>
          </w:p>
        </w:tc>
        <w:tc>
          <w:tcPr>
            <w:tcW w:type="dxa" w:w="77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A real flaw with no reachable path under the current entry vectors and preconditions. Tracked; not a vulnerability on this product.</w:t>
            </w:r>
          </w:p>
        </w:tc>
      </w:tr>
      <w:tr>
        <w:tc>
          <w:tcPr>
            <w:tcW w:type="dxa" w:w="23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Mitigated weakness</w:t>
            </w:r>
          </w:p>
        </w:tc>
        <w:tc>
          <w:tcPr>
            <w:tcW w:type="dxa" w:w="77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A finding whose path has been closed by a verified control or fix. The retest evidence is attached.</w:t>
            </w:r>
          </w:p>
        </w:tc>
      </w:tr>
      <w:tr>
        <w:tc>
          <w:tcPr>
            <w:tcW w:type="dxa" w:w="23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VEX status</w:t>
            </w:r>
          </w:p>
        </w:tc>
        <w:tc>
          <w:tcPr>
            <w:tcW w:type="dxa" w:w="77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One of: not affected, affected, fixed, under investigation, with a justification for not affected (component not present, vulnerable code not present, vulnerable code not in execute path, vulnerable code cannot be controlled by adversary, inline mitigations already exist).</w:t>
            </w:r>
          </w:p>
        </w:tc>
      </w:tr>
    </w:tbl>
    <w:p>
      <w:pPr>
        <w:pStyle w:val="Heading1"/>
        <w:keepNext/>
        <w:spacing w:after="120" w:before="320"/>
      </w:pPr>
      <w:r>
        <w:rPr>
          <w:rFonts w:ascii="Calibri" w:cs="Calibri" w:eastAsia="Calibri" w:hAnsi="Calibri"/>
          <w:b/>
          <w:bCs/>
          <w:color w:val="0F4761"/>
          <w:sz w:val="30"/>
          <w:szCs w:val="30"/>
        </w:rPr>
        <w:t xml:space="preserve">5. Vulnerability summary</w:t>
      </w:r>
    </w:p>
    <w:p>
      <w:pPr>
        <w:spacing w:after="120" w:line="276"/>
      </w:pPr>
      <w:r>
        <w:rPr>
          <w:rFonts w:ascii="Calibri" w:cs="Calibri" w:eastAsia="Calibri" w:hAnsi="Calibri"/>
          <w:color w:val="14121F"/>
          <w:sz w:val="21"/>
          <w:szCs w:val="21"/>
        </w:rPr>
        <w:t xml:space="preserve">On October 17, 2026 the private keys of eight eMudhra intermediate certificate authorities were shown to be small whole numbers computable from their public certificates. Anyone can sign a certificate for any hostname with them. Browsers and current operating systems blocked the certificates within days. A fielded medical device does not: its trust stores are compiled into firmware, often in three to five places, and each weak intermediate is also cross-signed by Sectigo under AAA Certificate Services, a root present in Linux, Java and OpenSSL bundles since 2004. A client that trusts a public bundle, does not enforce revocation and does not pin the server's key accepts the forged chain, and every TLS connection it makes can be intercepted by an attacker on the network path until the trust store changes.</w:t>
      </w:r>
    </w:p>
    <w:p>
      <w:pPr>
        <w:spacing w:after="120" w:line="276"/>
      </w:pPr>
      <w:r>
        <w:rPr>
          <w:rFonts w:ascii="Calibri" w:cs="Calibri" w:eastAsia="Calibri" w:hAnsi="Calibri"/>
          <w:color w:val="14121F"/>
          <w:sz w:val="21"/>
          <w:szCs w:val="21"/>
        </w:rPr>
        <w:t xml:space="preserve">[Company] assessment date: [date]. Affected branches of the vulnerability class considered: the emSign G3 roots, the eight weak intermediates, and the AAA Certificate Services cross-sign.</w:t>
      </w:r>
    </w:p>
    <w:p>
      <w:pPr>
        <w:pStyle w:val="Heading1"/>
        <w:keepNext/>
        <w:spacing w:after="120" w:before="320"/>
      </w:pPr>
      <w:r>
        <w:rPr>
          <w:rFonts w:ascii="Calibri" w:cs="Calibri" w:eastAsia="Calibri" w:hAnsi="Calibri"/>
          <w:b/>
          <w:bCs/>
          <w:color w:val="0F4761"/>
          <w:sz w:val="30"/>
          <w:szCs w:val="30"/>
        </w:rPr>
        <w:t xml:space="preserve">6. How exposure was determined</w:t>
      </w:r>
    </w:p>
    <w:p>
      <w:pPr>
        <w:spacing w:after="120" w:line="276"/>
      </w:pPr>
      <w:r>
        <w:rPr>
          <w:rFonts w:ascii="Calibri" w:cs="Calibri" w:eastAsia="Calibri" w:hAnsi="Calibri"/>
          <w:color w:val="14121F"/>
          <w:sz w:val="21"/>
          <w:szCs w:val="21"/>
        </w:rPr>
        <w:t xml:space="preserve">The question is answered per TLS client, not per product. [Company] followed the process below; each step names the source of the answer.</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200"/>
        <w:gridCol w:w="3500"/>
        <w:gridCol w:w="2700"/>
        <w:gridCol w:w="1680"/>
      </w:tblGrid>
      <w:tr>
        <w:trPr>
          <w:tblHeader/>
        </w:trPr>
        <w:tc>
          <w:tcPr>
            <w:tcW w:type="dxa" w:w="2200"/>
            <w:tcBorders>
              <w:top w:val="single" w:color="C9C3DE" w:sz="4"/>
              <w:left w:val="single" w:color="C9C3DE" w:sz="4"/>
              <w:bottom w:val="single" w:color="C9C3DE" w:sz="4"/>
              <w:right w:val="single" w:color="C9C3DE" w:sz="4"/>
            </w:tcBorders>
            <w:shd w:fill="E8EEF4" w:color="auto" w:val="clear"/>
            <w:tcMar>
              <w:top w:type="dxa" w:w="70"/>
              <w:left w:type="dxa" w:w="100"/>
              <w:bottom w:type="dxa" w:w="70"/>
              <w:right w:type="dxa" w:w="100"/>
            </w:tcMar>
          </w:tcPr>
          <w:p>
            <w:pPr>
              <w:spacing w:after="0" w:line="260"/>
            </w:pPr>
            <w:r>
              <w:rPr>
                <w:rFonts w:ascii="Calibri" w:cs="Calibri" w:eastAsia="Calibri" w:hAnsi="Calibri"/>
                <w:b/>
                <w:bCs/>
                <w:color w:val="14121F"/>
                <w:sz w:val="19"/>
                <w:szCs w:val="19"/>
              </w:rPr>
              <w:t xml:space="preserve">Step</w:t>
            </w:r>
          </w:p>
        </w:tc>
        <w:tc>
          <w:tcPr>
            <w:tcW w:type="dxa" w:w="3500"/>
            <w:tcBorders>
              <w:top w:val="single" w:color="C9C3DE" w:sz="4"/>
              <w:left w:val="single" w:color="C9C3DE" w:sz="4"/>
              <w:bottom w:val="single" w:color="C9C3DE" w:sz="4"/>
              <w:right w:val="single" w:color="C9C3DE" w:sz="4"/>
            </w:tcBorders>
            <w:shd w:fill="E8EEF4" w:color="auto" w:val="clear"/>
            <w:tcMar>
              <w:top w:type="dxa" w:w="70"/>
              <w:left w:type="dxa" w:w="100"/>
              <w:bottom w:type="dxa" w:w="70"/>
              <w:right w:type="dxa" w:w="100"/>
            </w:tcMar>
          </w:tcPr>
          <w:p>
            <w:pPr>
              <w:spacing w:after="0" w:line="260"/>
            </w:pPr>
            <w:r>
              <w:rPr>
                <w:rFonts w:ascii="Calibri" w:cs="Calibri" w:eastAsia="Calibri" w:hAnsi="Calibri"/>
                <w:b/>
                <w:bCs/>
                <w:color w:val="14121F"/>
                <w:sz w:val="19"/>
                <w:szCs w:val="19"/>
              </w:rPr>
              <w:t xml:space="preserve">What was done</w:t>
            </w:r>
          </w:p>
        </w:tc>
        <w:tc>
          <w:tcPr>
            <w:tcW w:type="dxa" w:w="2700"/>
            <w:tcBorders>
              <w:top w:val="single" w:color="C9C3DE" w:sz="4"/>
              <w:left w:val="single" w:color="C9C3DE" w:sz="4"/>
              <w:bottom w:val="single" w:color="C9C3DE" w:sz="4"/>
              <w:right w:val="single" w:color="C9C3DE" w:sz="4"/>
            </w:tcBorders>
            <w:shd w:fill="E8EEF4" w:color="auto" w:val="clear"/>
            <w:tcMar>
              <w:top w:type="dxa" w:w="70"/>
              <w:left w:type="dxa" w:w="100"/>
              <w:bottom w:type="dxa" w:w="70"/>
              <w:right w:type="dxa" w:w="100"/>
            </w:tcMar>
          </w:tcPr>
          <w:p>
            <w:pPr>
              <w:spacing w:after="0" w:line="260"/>
            </w:pPr>
            <w:r>
              <w:rPr>
                <w:rFonts w:ascii="Calibri" w:cs="Calibri" w:eastAsia="Calibri" w:hAnsi="Calibri"/>
                <w:b/>
                <w:bCs/>
                <w:color w:val="14121F"/>
                <w:sz w:val="19"/>
                <w:szCs w:val="19"/>
              </w:rPr>
              <w:t xml:space="preserve">Source of the answer</w:t>
            </w:r>
          </w:p>
        </w:tc>
        <w:tc>
          <w:tcPr>
            <w:tcW w:type="dxa" w:w="1680"/>
            <w:tcBorders>
              <w:top w:val="single" w:color="C9C3DE" w:sz="4"/>
              <w:left w:val="single" w:color="C9C3DE" w:sz="4"/>
              <w:bottom w:val="single" w:color="C9C3DE" w:sz="4"/>
              <w:right w:val="single" w:color="C9C3DE" w:sz="4"/>
            </w:tcBorders>
            <w:shd w:fill="E8EEF4" w:color="auto" w:val="clear"/>
            <w:tcMar>
              <w:top w:type="dxa" w:w="70"/>
              <w:left w:type="dxa" w:w="100"/>
              <w:bottom w:type="dxa" w:w="70"/>
              <w:right w:type="dxa" w:w="100"/>
            </w:tcMar>
          </w:tcPr>
          <w:p>
            <w:pPr>
              <w:spacing w:after="0" w:line="260"/>
            </w:pPr>
            <w:r>
              <w:rPr>
                <w:rFonts w:ascii="Calibri" w:cs="Calibri" w:eastAsia="Calibri" w:hAnsi="Calibri"/>
                <w:b/>
                <w:bCs/>
                <w:color w:val="14121F"/>
                <w:sz w:val="19"/>
                <w:szCs w:val="19"/>
              </w:rPr>
              <w:t xml:space="preserve">Owner and date</w:t>
            </w:r>
          </w:p>
        </w:tc>
      </w:tr>
      <w:tr>
        <w:tc>
          <w:tcPr>
            <w:tcW w:type="dxa" w:w="22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1. Locate every TLS client</w:t>
            </w:r>
          </w:p>
        </w:tc>
        <w:tc>
          <w:tcPr>
            <w:tcW w:type="dxa" w:w="35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Enumerated each component of the product and every TLS client on it, with the interface it uses and the dataflow it carries.</w:t>
            </w:r>
          </w:p>
        </w:tc>
        <w:tc>
          <w:tcPr>
            <w:tcW w:type="dxa" w:w="27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Threat model architectural views, SBOM, source and firmware review</w:t>
            </w:r>
          </w:p>
        </w:tc>
        <w:tc>
          <w:tcPr>
            <w:tcW w:type="dxa" w:w="16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[name, date]</w:t>
            </w:r>
          </w:p>
        </w:tc>
      </w:tr>
      <w:tr>
        <w:tc>
          <w:tcPr>
            <w:tcW w:type="dxa" w:w="22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2. Identify the trust source</w:t>
            </w:r>
          </w:p>
        </w:tc>
        <w:tc>
          <w:tcPr>
            <w:tcW w:type="dxa" w:w="35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For each client, recorded the trust source it validates against: OS ca-certificates bundle, bundled CA file, Java cacerts, platform store, roots embedded in a proprietary stack, or a private CA.</w:t>
            </w:r>
          </w:p>
        </w:tc>
        <w:tc>
          <w:tcPr>
            <w:tcW w:type="dxa" w:w="27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Firmware extraction; build configuration</w:t>
            </w:r>
          </w:p>
        </w:tc>
        <w:tc>
          <w:tcPr>
            <w:tcW w:type="dxa" w:w="16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[name, date]</w:t>
            </w:r>
          </w:p>
        </w:tc>
      </w:tr>
      <w:tr>
        <w:tc>
          <w:tcPr>
            <w:tcW w:type="dxa" w:w="22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3. Check the stores</w:t>
            </w:r>
          </w:p>
        </w:tc>
        <w:tc>
          <w:tcPr>
            <w:tcW w:type="dxa" w:w="35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Checked each store for emSign ECC Root CA - G3, emSign Root TLS CA - G3, the eight intermediates and AAA Certificate Services.</w:t>
            </w:r>
          </w:p>
        </w:tc>
        <w:tc>
          <w:tcPr>
            <w:tcW w:type="dxa" w:w="27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Store contents captured as evidence</w:t>
            </w:r>
          </w:p>
        </w:tc>
        <w:tc>
          <w:tcPr>
            <w:tcW w:type="dxa" w:w="16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[name, date]</w:t>
            </w:r>
          </w:p>
        </w:tc>
      </w:tr>
      <w:tr>
        <w:tc>
          <w:tcPr>
            <w:tcW w:type="dxa" w:w="22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4. Record revocation and pinning</w:t>
            </w:r>
          </w:p>
        </w:tc>
        <w:tc>
          <w:tcPr>
            <w:tcW w:type="dxa" w:w="35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Recorded whether each client enforces revocation (and its soft-fail behaviour) and whether it pins the server certificate or public key, on every implementation.</w:t>
            </w:r>
          </w:p>
        </w:tc>
        <w:tc>
          <w:tcPr>
            <w:tcW w:type="dxa" w:w="27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Code review and runtime test</w:t>
            </w:r>
          </w:p>
        </w:tc>
        <w:tc>
          <w:tcPr>
            <w:tcW w:type="dxa" w:w="16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[name, date]</w:t>
            </w:r>
          </w:p>
        </w:tc>
      </w:tr>
      <w:tr>
        <w:tc>
          <w:tcPr>
            <w:tcW w:type="dxa" w:w="22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5. Record existing controls</w:t>
            </w:r>
          </w:p>
        </w:tc>
        <w:tc>
          <w:tcPr>
            <w:tcW w:type="dxa" w:w="35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Recorded any control on the connection that changes the outcome: mutual TLS under a private CA, a pinned SPKI, image signature verification on an update channel, network segmentation.</w:t>
            </w:r>
          </w:p>
        </w:tc>
        <w:tc>
          <w:tcPr>
            <w:tcW w:type="dxa" w:w="27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Threat model control list</w:t>
            </w:r>
          </w:p>
        </w:tc>
        <w:tc>
          <w:tcPr>
            <w:tcW w:type="dxa" w:w="16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[name, date]</w:t>
            </w:r>
          </w:p>
        </w:tc>
      </w:tr>
      <w:tr>
        <w:tc>
          <w:tcPr>
            <w:tcW w:type="dxa" w:w="22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6. Test on the real product</w:t>
            </w:r>
          </w:p>
        </w:tc>
        <w:tc>
          <w:tcPr>
            <w:tcW w:type="dxa" w:w="35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Presented a forged chain for the product's real hostnames through the cross-signed intermediate to each in-scope client and recorded whether it accepted the connection.</w:t>
            </w:r>
          </w:p>
        </w:tc>
        <w:tc>
          <w:tcPr>
            <w:tcW w:type="dxa" w:w="27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Test harness on the physical product</w:t>
            </w:r>
          </w:p>
        </w:tc>
        <w:tc>
          <w:tcPr>
            <w:tcW w:type="dxa" w:w="16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[name, date]</w:t>
            </w:r>
          </w:p>
        </w:tc>
      </w:tr>
      <w:tr>
        <w:tc>
          <w:tcPr>
            <w:tcW w:type="dxa" w:w="22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7. Assign the verdict</w:t>
            </w:r>
          </w:p>
        </w:tc>
        <w:tc>
          <w:tcPr>
            <w:tcW w:type="dxa" w:w="35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Placed each finding in the product's exploit chain (entry vector, preconditions, postconditions) and assigned one of the four verdicts.</w:t>
            </w:r>
          </w:p>
        </w:tc>
        <w:tc>
          <w:tcPr>
            <w:tcW w:type="dxa" w:w="27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Exploit chain analysis</w:t>
            </w:r>
          </w:p>
        </w:tc>
        <w:tc>
          <w:tcPr>
            <w:tcW w:type="dxa" w:w="16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[name, date]</w:t>
            </w:r>
          </w:p>
        </w:tc>
      </w:tr>
    </w:tbl>
    <w:p>
      <w:pPr>
        <w:spacing w:after="60" w:line="276"/>
      </w:pPr>
      <w:r>
        <w:rPr>
          <w:rFonts w:ascii="Calibri" w:cs="Calibri" w:eastAsia="Calibri" w:hAnsi="Calibri"/>
          <w:color w:val="14121F"/>
          <w:sz w:val="21"/>
          <w:szCs w:val="21"/>
        </w:rPr>
        <w:t xml:space="preserve"/>
      </w:r>
    </w:p>
    <w:p>
      <w:pPr>
        <w:pStyle w:val="Heading2"/>
        <w:keepNext/>
        <w:spacing w:after="80" w:before="220"/>
      </w:pPr>
      <w:r>
        <w:rPr>
          <w:rFonts w:ascii="Calibri" w:cs="Calibri" w:eastAsia="Calibri" w:hAnsi="Calibri"/>
          <w:b/>
          <w:bCs/>
          <w:color w:val="14121F"/>
          <w:sz w:val="24"/>
          <w:szCs w:val="24"/>
        </w:rPr>
        <w:t xml:space="preserve">6.1 Portfolio search</w:t>
      </w:r>
    </w:p>
    <w:p>
      <w:pPr>
        <w:spacing w:after="120" w:line="276"/>
      </w:pPr>
      <w:r>
        <w:rPr>
          <w:rFonts w:ascii="Calibri" w:cs="Calibri" w:eastAsia="Calibri" w:hAnsi="Calibri"/>
          <w:color w:val="14121F"/>
          <w:sz w:val="21"/>
          <w:szCs w:val="21"/>
        </w:rPr>
        <w:t xml:space="preserve">The same criteria were applied across the product portfolio so that products not under active test were still inventoried. Products returned: [list or reference].</w:t>
      </w:r>
    </w:p>
    <w:p>
      <w:pPr>
        <w:pStyle w:val="Heading1"/>
        <w:keepNext/>
        <w:spacing w:after="120" w:before="320"/>
      </w:pPr>
      <w:r>
        <w:rPr>
          <w:rFonts w:ascii="Calibri" w:cs="Calibri" w:eastAsia="Calibri" w:hAnsi="Calibri"/>
          <w:b/>
          <w:bCs/>
          <w:color w:val="0F4761"/>
          <w:sz w:val="30"/>
          <w:szCs w:val="30"/>
        </w:rPr>
        <w:t xml:space="preserve">7. Per-connection exposure assessment</w:t>
      </w:r>
    </w:p>
    <w:p>
      <w:pPr>
        <w:spacing w:after="120" w:line="276"/>
      </w:pPr>
      <w:r>
        <w:rPr>
          <w:rFonts w:ascii="Calibri" w:cs="Calibri" w:eastAsia="Calibri" w:hAnsi="Calibri"/>
          <w:color w:val="14121F"/>
          <w:sz w:val="21"/>
          <w:szCs w:val="21"/>
        </w:rPr>
        <w:t xml:space="preserve">One row per TLS client. Verdict values: Directly exploitable, Conditionally exploitable, Unexploitable weakness, Mitigated weakness.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700"/>
        <w:gridCol w:w="1300"/>
        <w:gridCol w:w="1700"/>
        <w:gridCol w:w="1300"/>
        <w:gridCol w:w="1000"/>
        <w:gridCol w:w="800"/>
        <w:gridCol w:w="1600"/>
        <w:gridCol w:w="1680"/>
      </w:tblGrid>
      <w:tr>
        <w:trPr>
          <w:tblHeader/>
        </w:trPr>
        <w:tc>
          <w:tcPr>
            <w:tcW w:type="dxa" w:w="700"/>
            <w:tcBorders>
              <w:top w:val="single" w:color="C9C3DE" w:sz="4"/>
              <w:left w:val="single" w:color="C9C3DE" w:sz="4"/>
              <w:bottom w:val="single" w:color="C9C3DE" w:sz="4"/>
              <w:right w:val="single" w:color="C9C3DE" w:sz="4"/>
            </w:tcBorders>
            <w:shd w:fill="E8EEF4" w:color="auto" w:val="clear"/>
            <w:tcMar>
              <w:top w:type="dxa" w:w="70"/>
              <w:left w:type="dxa" w:w="100"/>
              <w:bottom w:type="dxa" w:w="70"/>
              <w:right w:type="dxa" w:w="100"/>
            </w:tcMar>
          </w:tcPr>
          <w:p>
            <w:pPr>
              <w:spacing w:after="0" w:line="260"/>
            </w:pPr>
            <w:r>
              <w:rPr>
                <w:rFonts w:ascii="Calibri" w:cs="Calibri" w:eastAsia="Calibri" w:hAnsi="Calibri"/>
                <w:b/>
                <w:bCs/>
                <w:color w:val="14121F"/>
                <w:sz w:val="19"/>
                <w:szCs w:val="19"/>
              </w:rPr>
              <w:t xml:space="preserve">ID</w:t>
            </w:r>
          </w:p>
        </w:tc>
        <w:tc>
          <w:tcPr>
            <w:tcW w:type="dxa" w:w="1300"/>
            <w:tcBorders>
              <w:top w:val="single" w:color="C9C3DE" w:sz="4"/>
              <w:left w:val="single" w:color="C9C3DE" w:sz="4"/>
              <w:bottom w:val="single" w:color="C9C3DE" w:sz="4"/>
              <w:right w:val="single" w:color="C9C3DE" w:sz="4"/>
            </w:tcBorders>
            <w:shd w:fill="E8EEF4" w:color="auto" w:val="clear"/>
            <w:tcMar>
              <w:top w:type="dxa" w:w="70"/>
              <w:left w:type="dxa" w:w="100"/>
              <w:bottom w:type="dxa" w:w="70"/>
              <w:right w:type="dxa" w:w="100"/>
            </w:tcMar>
          </w:tcPr>
          <w:p>
            <w:pPr>
              <w:spacing w:after="0" w:line="260"/>
            </w:pPr>
            <w:r>
              <w:rPr>
                <w:rFonts w:ascii="Calibri" w:cs="Calibri" w:eastAsia="Calibri" w:hAnsi="Calibri"/>
                <w:b/>
                <w:bCs/>
                <w:color w:val="14121F"/>
                <w:sz w:val="19"/>
                <w:szCs w:val="19"/>
              </w:rPr>
              <w:t xml:space="preserve">Component</w:t>
            </w:r>
          </w:p>
        </w:tc>
        <w:tc>
          <w:tcPr>
            <w:tcW w:type="dxa" w:w="1700"/>
            <w:tcBorders>
              <w:top w:val="single" w:color="C9C3DE" w:sz="4"/>
              <w:left w:val="single" w:color="C9C3DE" w:sz="4"/>
              <w:bottom w:val="single" w:color="C9C3DE" w:sz="4"/>
              <w:right w:val="single" w:color="C9C3DE" w:sz="4"/>
            </w:tcBorders>
            <w:shd w:fill="E8EEF4" w:color="auto" w:val="clear"/>
            <w:tcMar>
              <w:top w:type="dxa" w:w="70"/>
              <w:left w:type="dxa" w:w="100"/>
              <w:bottom w:type="dxa" w:w="70"/>
              <w:right w:type="dxa" w:w="100"/>
            </w:tcMar>
          </w:tcPr>
          <w:p>
            <w:pPr>
              <w:spacing w:after="0" w:line="260"/>
            </w:pPr>
            <w:r>
              <w:rPr>
                <w:rFonts w:ascii="Calibri" w:cs="Calibri" w:eastAsia="Calibri" w:hAnsi="Calibri"/>
                <w:b/>
                <w:bCs/>
                <w:color w:val="14121F"/>
                <w:sz w:val="19"/>
                <w:szCs w:val="19"/>
              </w:rPr>
              <w:t xml:space="preserve">Interface and dataflow</w:t>
            </w:r>
          </w:p>
        </w:tc>
        <w:tc>
          <w:tcPr>
            <w:tcW w:type="dxa" w:w="1300"/>
            <w:tcBorders>
              <w:top w:val="single" w:color="C9C3DE" w:sz="4"/>
              <w:left w:val="single" w:color="C9C3DE" w:sz="4"/>
              <w:bottom w:val="single" w:color="C9C3DE" w:sz="4"/>
              <w:right w:val="single" w:color="C9C3DE" w:sz="4"/>
            </w:tcBorders>
            <w:shd w:fill="E8EEF4" w:color="auto" w:val="clear"/>
            <w:tcMar>
              <w:top w:type="dxa" w:w="70"/>
              <w:left w:type="dxa" w:w="100"/>
              <w:bottom w:type="dxa" w:w="70"/>
              <w:right w:type="dxa" w:w="100"/>
            </w:tcMar>
          </w:tcPr>
          <w:p>
            <w:pPr>
              <w:spacing w:after="0" w:line="260"/>
            </w:pPr>
            <w:r>
              <w:rPr>
                <w:rFonts w:ascii="Calibri" w:cs="Calibri" w:eastAsia="Calibri" w:hAnsi="Calibri"/>
                <w:b/>
                <w:bCs/>
                <w:color w:val="14121F"/>
                <w:sz w:val="19"/>
                <w:szCs w:val="19"/>
              </w:rPr>
              <w:t xml:space="preserve">Trust source</w:t>
            </w:r>
          </w:p>
        </w:tc>
        <w:tc>
          <w:tcPr>
            <w:tcW w:type="dxa" w:w="1000"/>
            <w:tcBorders>
              <w:top w:val="single" w:color="C9C3DE" w:sz="4"/>
              <w:left w:val="single" w:color="C9C3DE" w:sz="4"/>
              <w:bottom w:val="single" w:color="C9C3DE" w:sz="4"/>
              <w:right w:val="single" w:color="C9C3DE" w:sz="4"/>
            </w:tcBorders>
            <w:shd w:fill="E8EEF4" w:color="auto" w:val="clear"/>
            <w:tcMar>
              <w:top w:type="dxa" w:w="70"/>
              <w:left w:type="dxa" w:w="100"/>
              <w:bottom w:type="dxa" w:w="70"/>
              <w:right w:type="dxa" w:w="100"/>
            </w:tcMar>
          </w:tcPr>
          <w:p>
            <w:pPr>
              <w:spacing w:after="0" w:line="260"/>
            </w:pPr>
            <w:r>
              <w:rPr>
                <w:rFonts w:ascii="Calibri" w:cs="Calibri" w:eastAsia="Calibri" w:hAnsi="Calibri"/>
                <w:b/>
                <w:bCs/>
                <w:color w:val="14121F"/>
                <w:sz w:val="19"/>
                <w:szCs w:val="19"/>
              </w:rPr>
              <w:t xml:space="preserve">Revocation</w:t>
            </w:r>
          </w:p>
        </w:tc>
        <w:tc>
          <w:tcPr>
            <w:tcW w:type="dxa" w:w="800"/>
            <w:tcBorders>
              <w:top w:val="single" w:color="C9C3DE" w:sz="4"/>
              <w:left w:val="single" w:color="C9C3DE" w:sz="4"/>
              <w:bottom w:val="single" w:color="C9C3DE" w:sz="4"/>
              <w:right w:val="single" w:color="C9C3DE" w:sz="4"/>
            </w:tcBorders>
            <w:shd w:fill="E8EEF4" w:color="auto" w:val="clear"/>
            <w:tcMar>
              <w:top w:type="dxa" w:w="70"/>
              <w:left w:type="dxa" w:w="100"/>
              <w:bottom w:type="dxa" w:w="70"/>
              <w:right w:type="dxa" w:w="100"/>
            </w:tcMar>
          </w:tcPr>
          <w:p>
            <w:pPr>
              <w:spacing w:after="0" w:line="260"/>
            </w:pPr>
            <w:r>
              <w:rPr>
                <w:rFonts w:ascii="Calibri" w:cs="Calibri" w:eastAsia="Calibri" w:hAnsi="Calibri"/>
                <w:b/>
                <w:bCs/>
                <w:color w:val="14121F"/>
                <w:sz w:val="19"/>
                <w:szCs w:val="19"/>
              </w:rPr>
              <w:t xml:space="preserve">Pin</w:t>
            </w:r>
          </w:p>
        </w:tc>
        <w:tc>
          <w:tcPr>
            <w:tcW w:type="dxa" w:w="1600"/>
            <w:tcBorders>
              <w:top w:val="single" w:color="C9C3DE" w:sz="4"/>
              <w:left w:val="single" w:color="C9C3DE" w:sz="4"/>
              <w:bottom w:val="single" w:color="C9C3DE" w:sz="4"/>
              <w:right w:val="single" w:color="C9C3DE" w:sz="4"/>
            </w:tcBorders>
            <w:shd w:fill="E8EEF4" w:color="auto" w:val="clear"/>
            <w:tcMar>
              <w:top w:type="dxa" w:w="70"/>
              <w:left w:type="dxa" w:w="100"/>
              <w:bottom w:type="dxa" w:w="70"/>
              <w:right w:type="dxa" w:w="100"/>
            </w:tcMar>
          </w:tcPr>
          <w:p>
            <w:pPr>
              <w:spacing w:after="0" w:line="260"/>
            </w:pPr>
            <w:r>
              <w:rPr>
                <w:rFonts w:ascii="Calibri" w:cs="Calibri" w:eastAsia="Calibri" w:hAnsi="Calibri"/>
                <w:b/>
                <w:bCs/>
                <w:color w:val="14121F"/>
                <w:sz w:val="19"/>
                <w:szCs w:val="19"/>
              </w:rPr>
              <w:t xml:space="preserve">Existing controls</w:t>
            </w:r>
          </w:p>
        </w:tc>
        <w:tc>
          <w:tcPr>
            <w:tcW w:type="dxa" w:w="1680"/>
            <w:tcBorders>
              <w:top w:val="single" w:color="C9C3DE" w:sz="4"/>
              <w:left w:val="single" w:color="C9C3DE" w:sz="4"/>
              <w:bottom w:val="single" w:color="C9C3DE" w:sz="4"/>
              <w:right w:val="single" w:color="C9C3DE" w:sz="4"/>
            </w:tcBorders>
            <w:shd w:fill="E8EEF4" w:color="auto" w:val="clear"/>
            <w:tcMar>
              <w:top w:type="dxa" w:w="70"/>
              <w:left w:type="dxa" w:w="100"/>
              <w:bottom w:type="dxa" w:w="70"/>
              <w:right w:type="dxa" w:w="100"/>
            </w:tcMar>
          </w:tcPr>
          <w:p>
            <w:pPr>
              <w:spacing w:after="0" w:line="260"/>
            </w:pPr>
            <w:r>
              <w:rPr>
                <w:rFonts w:ascii="Calibri" w:cs="Calibri" w:eastAsia="Calibri" w:hAnsi="Calibri"/>
                <w:b/>
                <w:bCs/>
                <w:color w:val="14121F"/>
                <w:sz w:val="19"/>
                <w:szCs w:val="19"/>
              </w:rPr>
              <w:t xml:space="preserve">Verdict</w:t>
            </w:r>
          </w:p>
        </w:tc>
      </w:tr>
      <w:tr>
        <w:tc>
          <w:tcPr>
            <w:tcW w:type="dxa" w:w="7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i/>
                <w:iCs/>
                <w:color w:val="595959"/>
                <w:sz w:val="19"/>
                <w:szCs w:val="19"/>
              </w:rPr>
              <w:t xml:space="preserve">e.g. D2</w:t>
            </w:r>
          </w:p>
        </w:tc>
        <w:tc>
          <w:tcPr>
            <w:tcW w:type="dxa" w:w="13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i/>
                <w:iCs/>
                <w:color w:val="595959"/>
                <w:sz w:val="19"/>
                <w:szCs w:val="19"/>
              </w:rPr>
              <w:t xml:space="preserve">e.g. Dock (embedded Linux)</w:t>
            </w:r>
          </w:p>
        </w:tc>
        <w:tc>
          <w:tcPr>
            <w:tcW w:type="dxa" w:w="17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i/>
                <w:iCs/>
                <w:color w:val="595959"/>
                <w:sz w:val="19"/>
                <w:szCs w:val="19"/>
              </w:rPr>
              <w:t xml:space="preserve">e.g. Wi-Fi to cloud; telemetry over HTTPS</w:t>
            </w:r>
          </w:p>
        </w:tc>
        <w:tc>
          <w:tcPr>
            <w:tcW w:type="dxa" w:w="13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i/>
                <w:iCs/>
                <w:color w:val="595959"/>
                <w:sz w:val="19"/>
                <w:szCs w:val="19"/>
              </w:rPr>
              <w:t xml:space="preserve">e.g. OS bundle (contains AAA root)</w:t>
            </w:r>
          </w:p>
        </w:tc>
        <w:tc>
          <w:tcPr>
            <w:tcW w:type="dxa" w:w="10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i/>
                <w:iCs/>
                <w:color w:val="595959"/>
                <w:sz w:val="19"/>
                <w:szCs w:val="19"/>
              </w:rPr>
              <w:t xml:space="preserve">e.g. Not enforced</w:t>
            </w:r>
          </w:p>
        </w:tc>
        <w:tc>
          <w:tcPr>
            <w:tcW w:type="dxa" w:w="8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i/>
                <w:iCs/>
                <w:color w:val="595959"/>
                <w:sz w:val="19"/>
                <w:szCs w:val="19"/>
              </w:rPr>
              <w:t xml:space="preserve">e.g. None</w:t>
            </w:r>
          </w:p>
        </w:tc>
        <w:tc>
          <w:tcPr>
            <w:tcW w:type="dxa" w:w="16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i/>
                <w:iCs/>
                <w:color w:val="595959"/>
                <w:sz w:val="19"/>
                <w:szCs w:val="19"/>
              </w:rPr>
              <w:t xml:space="preserve">e.g. None on this flow</w:t>
            </w:r>
          </w:p>
        </w:tc>
        <w:tc>
          <w:tcPr>
            <w:tcW w:type="dxa" w:w="16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i/>
                <w:iCs/>
                <w:color w:val="595959"/>
                <w:sz w:val="19"/>
                <w:szCs w:val="19"/>
              </w:rPr>
              <w:t xml:space="preserve">e.g. Directly exploitable</w:t>
            </w:r>
          </w:p>
        </w:tc>
      </w:tr>
      <w:tr>
        <w:tc>
          <w:tcPr>
            <w:tcW w:type="dxa" w:w="7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i/>
                <w:iCs/>
                <w:color w:val="595959"/>
                <w:sz w:val="19"/>
                <w:szCs w:val="19"/>
              </w:rPr>
              <w:t xml:space="preserve">e.g. D3</w:t>
            </w:r>
          </w:p>
        </w:tc>
        <w:tc>
          <w:tcPr>
            <w:tcW w:type="dxa" w:w="13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i/>
                <w:iCs/>
                <w:color w:val="595959"/>
                <w:sz w:val="19"/>
                <w:szCs w:val="19"/>
              </w:rPr>
              <w:t xml:space="preserve">e.g. Dock</w:t>
            </w:r>
          </w:p>
        </w:tc>
        <w:tc>
          <w:tcPr>
            <w:tcW w:type="dxa" w:w="17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i/>
                <w:iCs/>
                <w:color w:val="595959"/>
                <w:sz w:val="19"/>
                <w:szCs w:val="19"/>
              </w:rPr>
              <w:t xml:space="preserve">e.g. Firmware fetch, same client</w:t>
            </w:r>
          </w:p>
        </w:tc>
        <w:tc>
          <w:tcPr>
            <w:tcW w:type="dxa" w:w="13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i/>
                <w:iCs/>
                <w:color w:val="595959"/>
                <w:sz w:val="19"/>
                <w:szCs w:val="19"/>
              </w:rPr>
              <w:t xml:space="preserve">e.g. OS bundle</w:t>
            </w:r>
          </w:p>
        </w:tc>
        <w:tc>
          <w:tcPr>
            <w:tcW w:type="dxa" w:w="10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i/>
                <w:iCs/>
                <w:color w:val="595959"/>
                <w:sz w:val="19"/>
                <w:szCs w:val="19"/>
              </w:rPr>
              <w:t xml:space="preserve">e.g. Not enforced</w:t>
            </w:r>
          </w:p>
        </w:tc>
        <w:tc>
          <w:tcPr>
            <w:tcW w:type="dxa" w:w="8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i/>
                <w:iCs/>
                <w:color w:val="595959"/>
                <w:sz w:val="19"/>
                <w:szCs w:val="19"/>
              </w:rPr>
              <w:t xml:space="preserve">e.g. None</w:t>
            </w:r>
          </w:p>
        </w:tc>
        <w:tc>
          <w:tcPr>
            <w:tcW w:type="dxa" w:w="16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i/>
                <w:iCs/>
                <w:color w:val="595959"/>
                <w:sz w:val="19"/>
                <w:szCs w:val="19"/>
              </w:rPr>
              <w:t xml:space="preserve">e.g. Image signature verified before install</w:t>
            </w:r>
          </w:p>
        </w:tc>
        <w:tc>
          <w:tcPr>
            <w:tcW w:type="dxa" w:w="16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i/>
                <w:iCs/>
                <w:color w:val="595959"/>
                <w:sz w:val="19"/>
                <w:szCs w:val="19"/>
              </w:rPr>
              <w:t xml:space="preserve">e.g. Conditionally exploitable (on image signature)</w:t>
            </w:r>
          </w:p>
        </w:tc>
      </w:tr>
      <w:tr>
        <w:tc>
          <w:tcPr>
            <w:tcW w:type="dxa" w:w="7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i/>
                <w:iCs/>
                <w:color w:val="595959"/>
                <w:sz w:val="19"/>
                <w:szCs w:val="19"/>
              </w:rPr>
              <w:t xml:space="preserve">e.g. D5</w:t>
            </w:r>
          </w:p>
        </w:tc>
        <w:tc>
          <w:tcPr>
            <w:tcW w:type="dxa" w:w="13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i/>
                <w:iCs/>
                <w:color w:val="595959"/>
                <w:sz w:val="19"/>
                <w:szCs w:val="19"/>
              </w:rPr>
              <w:t xml:space="preserve">e.g. Pump</w:t>
            </w:r>
          </w:p>
        </w:tc>
        <w:tc>
          <w:tcPr>
            <w:tcW w:type="dxa" w:w="17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i/>
                <w:iCs/>
                <w:color w:val="595959"/>
                <w:sz w:val="19"/>
                <w:szCs w:val="19"/>
              </w:rPr>
              <w:t xml:space="preserve">e.g. Service tool, mutual TLS</w:t>
            </w:r>
          </w:p>
        </w:tc>
        <w:tc>
          <w:tcPr>
            <w:tcW w:type="dxa" w:w="13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i/>
                <w:iCs/>
                <w:color w:val="595959"/>
                <w:sz w:val="19"/>
                <w:szCs w:val="19"/>
              </w:rPr>
              <w:t xml:space="preserve">e.g. Private CA only</w:t>
            </w:r>
          </w:p>
        </w:tc>
        <w:tc>
          <w:tcPr>
            <w:tcW w:type="dxa" w:w="10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i/>
                <w:iCs/>
                <w:color w:val="595959"/>
                <w:sz w:val="19"/>
                <w:szCs w:val="19"/>
              </w:rPr>
              <w:t xml:space="preserve">e.g. N/A</w:t>
            </w:r>
          </w:p>
        </w:tc>
        <w:tc>
          <w:tcPr>
            <w:tcW w:type="dxa" w:w="8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i/>
                <w:iCs/>
                <w:color w:val="595959"/>
                <w:sz w:val="19"/>
                <w:szCs w:val="19"/>
              </w:rPr>
              <w:t xml:space="preserve">e.g. N/A</w:t>
            </w:r>
          </w:p>
        </w:tc>
        <w:tc>
          <w:tcPr>
            <w:tcW w:type="dxa" w:w="16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i/>
                <w:iCs/>
                <w:color w:val="595959"/>
                <w:sz w:val="19"/>
                <w:szCs w:val="19"/>
              </w:rPr>
              <w:t xml:space="preserve">e.g. mTLS under private CA</w:t>
            </w:r>
          </w:p>
        </w:tc>
        <w:tc>
          <w:tcPr>
            <w:tcW w:type="dxa" w:w="16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i/>
                <w:iCs/>
                <w:color w:val="595959"/>
                <w:sz w:val="19"/>
                <w:szCs w:val="19"/>
              </w:rPr>
              <w:t xml:space="preserve">e.g. Not affected</w:t>
            </w:r>
          </w:p>
        </w:tc>
      </w:tr>
      <w:tr>
        <w:tc>
          <w:tcPr>
            <w:tcW w:type="dxa" w:w="7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
            </w:r>
          </w:p>
        </w:tc>
        <w:tc>
          <w:tcPr>
            <w:tcW w:type="dxa" w:w="13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
            </w:r>
          </w:p>
        </w:tc>
        <w:tc>
          <w:tcPr>
            <w:tcW w:type="dxa" w:w="17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
            </w:r>
          </w:p>
        </w:tc>
        <w:tc>
          <w:tcPr>
            <w:tcW w:type="dxa" w:w="13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
            </w:r>
          </w:p>
        </w:tc>
        <w:tc>
          <w:tcPr>
            <w:tcW w:type="dxa" w:w="10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
            </w:r>
          </w:p>
        </w:tc>
        <w:tc>
          <w:tcPr>
            <w:tcW w:type="dxa" w:w="8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
            </w:r>
          </w:p>
        </w:tc>
        <w:tc>
          <w:tcPr>
            <w:tcW w:type="dxa" w:w="16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
            </w:r>
          </w:p>
        </w:tc>
        <w:tc>
          <w:tcPr>
            <w:tcW w:type="dxa" w:w="16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
            </w:r>
          </w:p>
        </w:tc>
      </w:tr>
      <w:tr>
        <w:tc>
          <w:tcPr>
            <w:tcW w:type="dxa" w:w="7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
            </w:r>
          </w:p>
        </w:tc>
        <w:tc>
          <w:tcPr>
            <w:tcW w:type="dxa" w:w="13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
            </w:r>
          </w:p>
        </w:tc>
        <w:tc>
          <w:tcPr>
            <w:tcW w:type="dxa" w:w="17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
            </w:r>
          </w:p>
        </w:tc>
        <w:tc>
          <w:tcPr>
            <w:tcW w:type="dxa" w:w="13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
            </w:r>
          </w:p>
        </w:tc>
        <w:tc>
          <w:tcPr>
            <w:tcW w:type="dxa" w:w="10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
            </w:r>
          </w:p>
        </w:tc>
        <w:tc>
          <w:tcPr>
            <w:tcW w:type="dxa" w:w="8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
            </w:r>
          </w:p>
        </w:tc>
        <w:tc>
          <w:tcPr>
            <w:tcW w:type="dxa" w:w="16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
            </w:r>
          </w:p>
        </w:tc>
        <w:tc>
          <w:tcPr>
            <w:tcW w:type="dxa" w:w="16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
            </w:r>
          </w:p>
        </w:tc>
      </w:tr>
    </w:tbl>
    <w:p>
      <w:pPr>
        <w:pStyle w:val="Heading1"/>
        <w:keepNext/>
        <w:spacing w:after="120" w:before="320"/>
      </w:pPr>
      <w:r>
        <w:rPr>
          <w:rFonts w:ascii="Calibri" w:cs="Calibri" w:eastAsia="Calibri" w:hAnsi="Calibri"/>
          <w:b/>
          <w:bCs/>
          <w:color w:val="0F4761"/>
          <w:sz w:val="30"/>
          <w:szCs w:val="30"/>
        </w:rPr>
        <w:t xml:space="preserve">8. Exploit chain per connection</w:t>
      </w:r>
    </w:p>
    <w:p>
      <w:pPr>
        <w:spacing w:after="120" w:line="276"/>
      </w:pPr>
      <w:r>
        <w:rPr>
          <w:rFonts w:ascii="Calibri" w:cs="Calibri" w:eastAsia="Calibri" w:hAnsi="Calibri"/>
          <w:color w:val="14121F"/>
          <w:sz w:val="21"/>
          <w:szCs w:val="21"/>
        </w:rPr>
        <w:t xml:space="preserve">For each connection with a verdict other than Not affected, record the chain. The verdict follows from the chain: an entry vector the attacker has, every precondition met as shipped, and a postcondition that matters is Directly exploitable; a missing precondition that another finding or control supplies is Conditionally exploitable; no reachable path is an Unexploitable weakness; a verified control that closes the path is a Mitigated weakness.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100"/>
        <w:gridCol w:w="2300"/>
        <w:gridCol w:w="2500"/>
        <w:gridCol w:w="2300"/>
        <w:gridCol w:w="1880"/>
      </w:tblGrid>
      <w:tr>
        <w:trPr>
          <w:tblHeader/>
        </w:trPr>
        <w:tc>
          <w:tcPr>
            <w:tcW w:type="dxa" w:w="1100"/>
            <w:tcBorders>
              <w:top w:val="single" w:color="C9C3DE" w:sz="4"/>
              <w:left w:val="single" w:color="C9C3DE" w:sz="4"/>
              <w:bottom w:val="single" w:color="C9C3DE" w:sz="4"/>
              <w:right w:val="single" w:color="C9C3DE" w:sz="4"/>
            </w:tcBorders>
            <w:shd w:fill="E8EEF4" w:color="auto" w:val="clear"/>
            <w:tcMar>
              <w:top w:type="dxa" w:w="70"/>
              <w:left w:type="dxa" w:w="100"/>
              <w:bottom w:type="dxa" w:w="70"/>
              <w:right w:type="dxa" w:w="100"/>
            </w:tcMar>
          </w:tcPr>
          <w:p>
            <w:pPr>
              <w:spacing w:after="0" w:line="260"/>
            </w:pPr>
            <w:r>
              <w:rPr>
                <w:rFonts w:ascii="Calibri" w:cs="Calibri" w:eastAsia="Calibri" w:hAnsi="Calibri"/>
                <w:b/>
                <w:bCs/>
                <w:color w:val="14121F"/>
                <w:sz w:val="19"/>
                <w:szCs w:val="19"/>
              </w:rPr>
              <w:t xml:space="preserve">Connection ID</w:t>
            </w:r>
          </w:p>
        </w:tc>
        <w:tc>
          <w:tcPr>
            <w:tcW w:type="dxa" w:w="2300"/>
            <w:tcBorders>
              <w:top w:val="single" w:color="C9C3DE" w:sz="4"/>
              <w:left w:val="single" w:color="C9C3DE" w:sz="4"/>
              <w:bottom w:val="single" w:color="C9C3DE" w:sz="4"/>
              <w:right w:val="single" w:color="C9C3DE" w:sz="4"/>
            </w:tcBorders>
            <w:shd w:fill="E8EEF4" w:color="auto" w:val="clear"/>
            <w:tcMar>
              <w:top w:type="dxa" w:w="70"/>
              <w:left w:type="dxa" w:w="100"/>
              <w:bottom w:type="dxa" w:w="70"/>
              <w:right w:type="dxa" w:w="100"/>
            </w:tcMar>
          </w:tcPr>
          <w:p>
            <w:pPr>
              <w:spacing w:after="0" w:line="260"/>
            </w:pPr>
            <w:r>
              <w:rPr>
                <w:rFonts w:ascii="Calibri" w:cs="Calibri" w:eastAsia="Calibri" w:hAnsi="Calibri"/>
                <w:b/>
                <w:bCs/>
                <w:color w:val="14121F"/>
                <w:sz w:val="19"/>
                <w:szCs w:val="19"/>
              </w:rPr>
              <w:t xml:space="preserve">Entry vector(s)</w:t>
            </w:r>
          </w:p>
        </w:tc>
        <w:tc>
          <w:tcPr>
            <w:tcW w:type="dxa" w:w="2500"/>
            <w:tcBorders>
              <w:top w:val="single" w:color="C9C3DE" w:sz="4"/>
              <w:left w:val="single" w:color="C9C3DE" w:sz="4"/>
              <w:bottom w:val="single" w:color="C9C3DE" w:sz="4"/>
              <w:right w:val="single" w:color="C9C3DE" w:sz="4"/>
            </w:tcBorders>
            <w:shd w:fill="E8EEF4" w:color="auto" w:val="clear"/>
            <w:tcMar>
              <w:top w:type="dxa" w:w="70"/>
              <w:left w:type="dxa" w:w="100"/>
              <w:bottom w:type="dxa" w:w="70"/>
              <w:right w:type="dxa" w:w="100"/>
            </w:tcMar>
          </w:tcPr>
          <w:p>
            <w:pPr>
              <w:spacing w:after="0" w:line="260"/>
            </w:pPr>
            <w:r>
              <w:rPr>
                <w:rFonts w:ascii="Calibri" w:cs="Calibri" w:eastAsia="Calibri" w:hAnsi="Calibri"/>
                <w:b/>
                <w:bCs/>
                <w:color w:val="14121F"/>
                <w:sz w:val="19"/>
                <w:szCs w:val="19"/>
              </w:rPr>
              <w:t xml:space="preserve">Preconditions (met as shipped? Y/N)</w:t>
            </w:r>
          </w:p>
        </w:tc>
        <w:tc>
          <w:tcPr>
            <w:tcW w:type="dxa" w:w="2300"/>
            <w:tcBorders>
              <w:top w:val="single" w:color="C9C3DE" w:sz="4"/>
              <w:left w:val="single" w:color="C9C3DE" w:sz="4"/>
              <w:bottom w:val="single" w:color="C9C3DE" w:sz="4"/>
              <w:right w:val="single" w:color="C9C3DE" w:sz="4"/>
            </w:tcBorders>
            <w:shd w:fill="E8EEF4" w:color="auto" w:val="clear"/>
            <w:tcMar>
              <w:top w:type="dxa" w:w="70"/>
              <w:left w:type="dxa" w:w="100"/>
              <w:bottom w:type="dxa" w:w="70"/>
              <w:right w:type="dxa" w:w="100"/>
            </w:tcMar>
          </w:tcPr>
          <w:p>
            <w:pPr>
              <w:spacing w:after="0" w:line="260"/>
            </w:pPr>
            <w:r>
              <w:rPr>
                <w:rFonts w:ascii="Calibri" w:cs="Calibri" w:eastAsia="Calibri" w:hAnsi="Calibri"/>
                <w:b/>
                <w:bCs/>
                <w:color w:val="14121F"/>
                <w:sz w:val="19"/>
                <w:szCs w:val="19"/>
              </w:rPr>
              <w:t xml:space="preserve">Postconditions achieved</w:t>
            </w:r>
          </w:p>
        </w:tc>
        <w:tc>
          <w:tcPr>
            <w:tcW w:type="dxa" w:w="1880"/>
            <w:tcBorders>
              <w:top w:val="single" w:color="C9C3DE" w:sz="4"/>
              <w:left w:val="single" w:color="C9C3DE" w:sz="4"/>
              <w:bottom w:val="single" w:color="C9C3DE" w:sz="4"/>
              <w:right w:val="single" w:color="C9C3DE" w:sz="4"/>
            </w:tcBorders>
            <w:shd w:fill="E8EEF4" w:color="auto" w:val="clear"/>
            <w:tcMar>
              <w:top w:type="dxa" w:w="70"/>
              <w:left w:type="dxa" w:w="100"/>
              <w:bottom w:type="dxa" w:w="70"/>
              <w:right w:type="dxa" w:w="100"/>
            </w:tcMar>
          </w:tcPr>
          <w:p>
            <w:pPr>
              <w:spacing w:after="0" w:line="260"/>
            </w:pPr>
            <w:r>
              <w:rPr>
                <w:rFonts w:ascii="Calibri" w:cs="Calibri" w:eastAsia="Calibri" w:hAnsi="Calibri"/>
                <w:b/>
                <w:bCs/>
                <w:color w:val="14121F"/>
                <w:sz w:val="19"/>
                <w:szCs w:val="19"/>
              </w:rPr>
              <w:t xml:space="preserve">Verdict and rationale</w:t>
            </w:r>
          </w:p>
        </w:tc>
      </w:tr>
      <w:tr>
        <w:tc>
          <w:tcPr>
            <w:tcW w:type="dxa" w:w="11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i/>
                <w:iCs/>
                <w:color w:val="595959"/>
                <w:sz w:val="19"/>
                <w:szCs w:val="19"/>
              </w:rPr>
              <w:t xml:space="preserve">e.g. D2</w:t>
            </w:r>
          </w:p>
        </w:tc>
        <w:tc>
          <w:tcPr>
            <w:tcW w:type="dxa" w:w="23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i/>
                <w:iCs/>
                <w:color w:val="595959"/>
                <w:sz w:val="19"/>
                <w:szCs w:val="19"/>
              </w:rPr>
              <w:t xml:space="preserve">e.g. Attacker on the network path between the dock and the cloud (hospital segment, service Wi-Fi, upstream provider)</w:t>
            </w:r>
          </w:p>
        </w:tc>
        <w:tc>
          <w:tcPr>
            <w:tcW w:type="dxa" w:w="25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i/>
                <w:iCs/>
                <w:color w:val="595959"/>
                <w:sz w:val="19"/>
                <w:szCs w:val="19"/>
              </w:rPr>
              <w:t xml:space="preserve">e.g. Trust store contains AAA root (Y); no revocation enforcement (Y); no pin (Y); hostname known from DNS and handshake (Y)</w:t>
            </w:r>
          </w:p>
        </w:tc>
        <w:tc>
          <w:tcPr>
            <w:tcW w:type="dxa" w:w="23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i/>
                <w:iCs/>
                <w:color w:val="595959"/>
                <w:sz w:val="19"/>
                <w:szCs w:val="19"/>
              </w:rPr>
              <w:t xml:space="preserve">e.g. Forged certificate accepted for the cloud hostname; telemetry readable and writable in transit; alarm thresholds alterable</w:t>
            </w:r>
          </w:p>
        </w:tc>
        <w:tc>
          <w:tcPr>
            <w:tcW w:type="dxa" w:w="18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i/>
                <w:iCs/>
                <w:color w:val="595959"/>
                <w:sz w:val="19"/>
                <w:szCs w:val="19"/>
              </w:rPr>
              <w:t xml:space="preserve">e.g. Directly exploitable: every precondition met by the shipped build; demonstrated on the device, evidence TC-EM-01-D2</w:t>
            </w:r>
          </w:p>
        </w:tc>
      </w:tr>
      <w:tr>
        <w:tc>
          <w:tcPr>
            <w:tcW w:type="dxa" w:w="11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
            </w:r>
          </w:p>
        </w:tc>
        <w:tc>
          <w:tcPr>
            <w:tcW w:type="dxa" w:w="23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
            </w:r>
          </w:p>
        </w:tc>
        <w:tc>
          <w:tcPr>
            <w:tcW w:type="dxa" w:w="25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
            </w:r>
          </w:p>
        </w:tc>
        <w:tc>
          <w:tcPr>
            <w:tcW w:type="dxa" w:w="23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
            </w:r>
          </w:p>
        </w:tc>
        <w:tc>
          <w:tcPr>
            <w:tcW w:type="dxa" w:w="18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
            </w:r>
          </w:p>
        </w:tc>
      </w:tr>
      <w:tr>
        <w:tc>
          <w:tcPr>
            <w:tcW w:type="dxa" w:w="11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
            </w:r>
          </w:p>
        </w:tc>
        <w:tc>
          <w:tcPr>
            <w:tcW w:type="dxa" w:w="23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
            </w:r>
          </w:p>
        </w:tc>
        <w:tc>
          <w:tcPr>
            <w:tcW w:type="dxa" w:w="25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
            </w:r>
          </w:p>
        </w:tc>
        <w:tc>
          <w:tcPr>
            <w:tcW w:type="dxa" w:w="23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
            </w:r>
          </w:p>
        </w:tc>
        <w:tc>
          <w:tcPr>
            <w:tcW w:type="dxa" w:w="18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
            </w:r>
          </w:p>
        </w:tc>
      </w:tr>
    </w:tbl>
    <w:p>
      <w:pPr>
        <w:pStyle w:val="Heading1"/>
        <w:keepNext/>
        <w:spacing w:after="120" w:before="320"/>
      </w:pPr>
      <w:r>
        <w:rPr>
          <w:rFonts w:ascii="Calibri" w:cs="Calibri" w:eastAsia="Calibri" w:hAnsi="Calibri"/>
          <w:b/>
          <w:bCs/>
          <w:color w:val="0F4761"/>
          <w:sz w:val="30"/>
          <w:szCs w:val="30"/>
        </w:rPr>
        <w:t xml:space="preserve">9. Data on the connection and CIA impact</w:t>
      </w:r>
    </w:p>
    <w:p>
      <w:pPr>
        <w:spacing w:after="120" w:line="276"/>
      </w:pPr>
      <w:r>
        <w:rPr>
          <w:rFonts w:ascii="Calibri" w:cs="Calibri" w:eastAsia="Calibri" w:hAnsi="Calibri"/>
          <w:color w:val="14121F"/>
          <w:sz w:val="21"/>
          <w:szCs w:val="21"/>
        </w:rPr>
        <w:t xml:space="preserve">What the connection carries decides the impact. Rate confidentiality, integrity and availability for the data on each exposed connection, and name the clinical or safety consequence where one exists.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100"/>
        <w:gridCol w:w="2200"/>
        <w:gridCol w:w="1600"/>
        <w:gridCol w:w="1600"/>
        <w:gridCol w:w="1600"/>
        <w:gridCol w:w="1980"/>
      </w:tblGrid>
      <w:tr>
        <w:trPr>
          <w:tblHeader/>
        </w:trPr>
        <w:tc>
          <w:tcPr>
            <w:tcW w:type="dxa" w:w="1100"/>
            <w:tcBorders>
              <w:top w:val="single" w:color="C9C3DE" w:sz="4"/>
              <w:left w:val="single" w:color="C9C3DE" w:sz="4"/>
              <w:bottom w:val="single" w:color="C9C3DE" w:sz="4"/>
              <w:right w:val="single" w:color="C9C3DE" w:sz="4"/>
            </w:tcBorders>
            <w:shd w:fill="E8EEF4" w:color="auto" w:val="clear"/>
            <w:tcMar>
              <w:top w:type="dxa" w:w="70"/>
              <w:left w:type="dxa" w:w="100"/>
              <w:bottom w:type="dxa" w:w="70"/>
              <w:right w:type="dxa" w:w="100"/>
            </w:tcMar>
          </w:tcPr>
          <w:p>
            <w:pPr>
              <w:spacing w:after="0" w:line="260"/>
            </w:pPr>
            <w:r>
              <w:rPr>
                <w:rFonts w:ascii="Calibri" w:cs="Calibri" w:eastAsia="Calibri" w:hAnsi="Calibri"/>
                <w:b/>
                <w:bCs/>
                <w:color w:val="14121F"/>
                <w:sz w:val="19"/>
                <w:szCs w:val="19"/>
              </w:rPr>
              <w:t xml:space="preserve">Connection ID</w:t>
            </w:r>
          </w:p>
        </w:tc>
        <w:tc>
          <w:tcPr>
            <w:tcW w:type="dxa" w:w="2200"/>
            <w:tcBorders>
              <w:top w:val="single" w:color="C9C3DE" w:sz="4"/>
              <w:left w:val="single" w:color="C9C3DE" w:sz="4"/>
              <w:bottom w:val="single" w:color="C9C3DE" w:sz="4"/>
              <w:right w:val="single" w:color="C9C3DE" w:sz="4"/>
            </w:tcBorders>
            <w:shd w:fill="E8EEF4" w:color="auto" w:val="clear"/>
            <w:tcMar>
              <w:top w:type="dxa" w:w="70"/>
              <w:left w:type="dxa" w:w="100"/>
              <w:bottom w:type="dxa" w:w="70"/>
              <w:right w:type="dxa" w:w="100"/>
            </w:tcMar>
          </w:tcPr>
          <w:p>
            <w:pPr>
              <w:spacing w:after="0" w:line="260"/>
            </w:pPr>
            <w:r>
              <w:rPr>
                <w:rFonts w:ascii="Calibri" w:cs="Calibri" w:eastAsia="Calibri" w:hAnsi="Calibri"/>
                <w:b/>
                <w:bCs/>
                <w:color w:val="14121F"/>
                <w:sz w:val="19"/>
                <w:szCs w:val="19"/>
              </w:rPr>
              <w:t xml:space="preserve">Data carried</w:t>
            </w:r>
          </w:p>
        </w:tc>
        <w:tc>
          <w:tcPr>
            <w:tcW w:type="dxa" w:w="1600"/>
            <w:tcBorders>
              <w:top w:val="single" w:color="C9C3DE" w:sz="4"/>
              <w:left w:val="single" w:color="C9C3DE" w:sz="4"/>
              <w:bottom w:val="single" w:color="C9C3DE" w:sz="4"/>
              <w:right w:val="single" w:color="C9C3DE" w:sz="4"/>
            </w:tcBorders>
            <w:shd w:fill="E8EEF4" w:color="auto" w:val="clear"/>
            <w:tcMar>
              <w:top w:type="dxa" w:w="70"/>
              <w:left w:type="dxa" w:w="100"/>
              <w:bottom w:type="dxa" w:w="70"/>
              <w:right w:type="dxa" w:w="100"/>
            </w:tcMar>
          </w:tcPr>
          <w:p>
            <w:pPr>
              <w:spacing w:after="0" w:line="260"/>
            </w:pPr>
            <w:r>
              <w:rPr>
                <w:rFonts w:ascii="Calibri" w:cs="Calibri" w:eastAsia="Calibri" w:hAnsi="Calibri"/>
                <w:b/>
                <w:bCs/>
                <w:color w:val="14121F"/>
                <w:sz w:val="19"/>
                <w:szCs w:val="19"/>
              </w:rPr>
              <w:t xml:space="preserve">Confidentiality</w:t>
            </w:r>
          </w:p>
        </w:tc>
        <w:tc>
          <w:tcPr>
            <w:tcW w:type="dxa" w:w="1600"/>
            <w:tcBorders>
              <w:top w:val="single" w:color="C9C3DE" w:sz="4"/>
              <w:left w:val="single" w:color="C9C3DE" w:sz="4"/>
              <w:bottom w:val="single" w:color="C9C3DE" w:sz="4"/>
              <w:right w:val="single" w:color="C9C3DE" w:sz="4"/>
            </w:tcBorders>
            <w:shd w:fill="E8EEF4" w:color="auto" w:val="clear"/>
            <w:tcMar>
              <w:top w:type="dxa" w:w="70"/>
              <w:left w:type="dxa" w:w="100"/>
              <w:bottom w:type="dxa" w:w="70"/>
              <w:right w:type="dxa" w:w="100"/>
            </w:tcMar>
          </w:tcPr>
          <w:p>
            <w:pPr>
              <w:spacing w:after="0" w:line="260"/>
            </w:pPr>
            <w:r>
              <w:rPr>
                <w:rFonts w:ascii="Calibri" w:cs="Calibri" w:eastAsia="Calibri" w:hAnsi="Calibri"/>
                <w:b/>
                <w:bCs/>
                <w:color w:val="14121F"/>
                <w:sz w:val="19"/>
                <w:szCs w:val="19"/>
              </w:rPr>
              <w:t xml:space="preserve">Integrity</w:t>
            </w:r>
          </w:p>
        </w:tc>
        <w:tc>
          <w:tcPr>
            <w:tcW w:type="dxa" w:w="1600"/>
            <w:tcBorders>
              <w:top w:val="single" w:color="C9C3DE" w:sz="4"/>
              <w:left w:val="single" w:color="C9C3DE" w:sz="4"/>
              <w:bottom w:val="single" w:color="C9C3DE" w:sz="4"/>
              <w:right w:val="single" w:color="C9C3DE" w:sz="4"/>
            </w:tcBorders>
            <w:shd w:fill="E8EEF4" w:color="auto" w:val="clear"/>
            <w:tcMar>
              <w:top w:type="dxa" w:w="70"/>
              <w:left w:type="dxa" w:w="100"/>
              <w:bottom w:type="dxa" w:w="70"/>
              <w:right w:type="dxa" w:w="100"/>
            </w:tcMar>
          </w:tcPr>
          <w:p>
            <w:pPr>
              <w:spacing w:after="0" w:line="260"/>
            </w:pPr>
            <w:r>
              <w:rPr>
                <w:rFonts w:ascii="Calibri" w:cs="Calibri" w:eastAsia="Calibri" w:hAnsi="Calibri"/>
                <w:b/>
                <w:bCs/>
                <w:color w:val="14121F"/>
                <w:sz w:val="19"/>
                <w:szCs w:val="19"/>
              </w:rPr>
              <w:t xml:space="preserve">Availability</w:t>
            </w:r>
          </w:p>
        </w:tc>
        <w:tc>
          <w:tcPr>
            <w:tcW w:type="dxa" w:w="1980"/>
            <w:tcBorders>
              <w:top w:val="single" w:color="C9C3DE" w:sz="4"/>
              <w:left w:val="single" w:color="C9C3DE" w:sz="4"/>
              <w:bottom w:val="single" w:color="C9C3DE" w:sz="4"/>
              <w:right w:val="single" w:color="C9C3DE" w:sz="4"/>
            </w:tcBorders>
            <w:shd w:fill="E8EEF4" w:color="auto" w:val="clear"/>
            <w:tcMar>
              <w:top w:type="dxa" w:w="70"/>
              <w:left w:type="dxa" w:w="100"/>
              <w:bottom w:type="dxa" w:w="70"/>
              <w:right w:type="dxa" w:w="100"/>
            </w:tcMar>
          </w:tcPr>
          <w:p>
            <w:pPr>
              <w:spacing w:after="0" w:line="260"/>
            </w:pPr>
            <w:r>
              <w:rPr>
                <w:rFonts w:ascii="Calibri" w:cs="Calibri" w:eastAsia="Calibri" w:hAnsi="Calibri"/>
                <w:b/>
                <w:bCs/>
                <w:color w:val="14121F"/>
                <w:sz w:val="19"/>
                <w:szCs w:val="19"/>
              </w:rPr>
              <w:t xml:space="preserve">Clinical or safety consequence</w:t>
            </w:r>
          </w:p>
        </w:tc>
      </w:tr>
      <w:tr>
        <w:tc>
          <w:tcPr>
            <w:tcW w:type="dxa" w:w="11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i/>
                <w:iCs/>
                <w:color w:val="595959"/>
                <w:sz w:val="19"/>
                <w:szCs w:val="19"/>
              </w:rPr>
              <w:t xml:space="preserve">e.g. D2</w:t>
            </w:r>
          </w:p>
        </w:tc>
        <w:tc>
          <w:tcPr>
            <w:tcW w:type="dxa" w:w="22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i/>
                <w:iCs/>
                <w:color w:val="595959"/>
                <w:sz w:val="19"/>
                <w:szCs w:val="19"/>
              </w:rPr>
              <w:t xml:space="preserve">e.g. Device telemetry, alarm thresholds, configuration pushes</w:t>
            </w:r>
          </w:p>
        </w:tc>
        <w:tc>
          <w:tcPr>
            <w:tcW w:type="dxa" w:w="16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i/>
                <w:iCs/>
                <w:color w:val="595959"/>
                <w:sz w:val="19"/>
                <w:szCs w:val="19"/>
              </w:rPr>
              <w:t xml:space="preserve">e.g. High: patient-attributable telemetry readable</w:t>
            </w:r>
          </w:p>
        </w:tc>
        <w:tc>
          <w:tcPr>
            <w:tcW w:type="dxa" w:w="16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i/>
                <w:iCs/>
                <w:color w:val="595959"/>
                <w:sz w:val="19"/>
                <w:szCs w:val="19"/>
              </w:rPr>
              <w:t xml:space="preserve">e.g. High: thresholds alterable in transit</w:t>
            </w:r>
          </w:p>
        </w:tc>
        <w:tc>
          <w:tcPr>
            <w:tcW w:type="dxa" w:w="16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i/>
                <w:iCs/>
                <w:color w:val="595959"/>
                <w:sz w:val="19"/>
                <w:szCs w:val="19"/>
              </w:rPr>
              <w:t xml:space="preserve">e.g. Low: connection can be dropped; device continues on local settings</w:t>
            </w:r>
          </w:p>
        </w:tc>
        <w:tc>
          <w:tcPr>
            <w:tcW w:type="dxa" w:w="19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i/>
                <w:iCs/>
                <w:color w:val="595959"/>
                <w:sz w:val="19"/>
                <w:szCs w:val="19"/>
              </w:rPr>
              <w:t xml:space="preserve">e.g. Altered alarm thresholds could delay escalation</w:t>
            </w:r>
          </w:p>
        </w:tc>
      </w:tr>
      <w:tr>
        <w:tc>
          <w:tcPr>
            <w:tcW w:type="dxa" w:w="11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i/>
                <w:iCs/>
                <w:color w:val="595959"/>
                <w:sz w:val="19"/>
                <w:szCs w:val="19"/>
              </w:rPr>
              <w:t xml:space="preserve">e.g. D3</w:t>
            </w:r>
          </w:p>
        </w:tc>
        <w:tc>
          <w:tcPr>
            <w:tcW w:type="dxa" w:w="22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i/>
                <w:iCs/>
                <w:color w:val="595959"/>
                <w:sz w:val="19"/>
                <w:szCs w:val="19"/>
              </w:rPr>
              <w:t xml:space="preserve">e.g. Firmware images and manifests</w:t>
            </w:r>
          </w:p>
        </w:tc>
        <w:tc>
          <w:tcPr>
            <w:tcW w:type="dxa" w:w="16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i/>
                <w:iCs/>
                <w:color w:val="595959"/>
                <w:sz w:val="19"/>
                <w:szCs w:val="19"/>
              </w:rPr>
              <w:t xml:space="preserve">e.g. Low</w:t>
            </w:r>
          </w:p>
        </w:tc>
        <w:tc>
          <w:tcPr>
            <w:tcW w:type="dxa" w:w="16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i/>
                <w:iCs/>
                <w:color w:val="595959"/>
                <w:sz w:val="19"/>
                <w:szCs w:val="19"/>
              </w:rPr>
              <w:t xml:space="preserve">e.g. High if the image signature were bypassed; otherwise none</w:t>
            </w:r>
          </w:p>
        </w:tc>
        <w:tc>
          <w:tcPr>
            <w:tcW w:type="dxa" w:w="16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i/>
                <w:iCs/>
                <w:color w:val="595959"/>
                <w:sz w:val="19"/>
                <w:szCs w:val="19"/>
              </w:rPr>
              <w:t xml:space="preserve">e.g. Medium: update can be blocked</w:t>
            </w:r>
          </w:p>
        </w:tc>
        <w:tc>
          <w:tcPr>
            <w:tcW w:type="dxa" w:w="19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i/>
                <w:iCs/>
                <w:color w:val="595959"/>
                <w:sz w:val="19"/>
                <w:szCs w:val="19"/>
              </w:rPr>
              <w:t xml:space="preserve">e.g. None while image signing holds</w:t>
            </w:r>
          </w:p>
        </w:tc>
      </w:tr>
      <w:tr>
        <w:tc>
          <w:tcPr>
            <w:tcW w:type="dxa" w:w="11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
            </w:r>
          </w:p>
        </w:tc>
        <w:tc>
          <w:tcPr>
            <w:tcW w:type="dxa" w:w="22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
            </w:r>
          </w:p>
        </w:tc>
        <w:tc>
          <w:tcPr>
            <w:tcW w:type="dxa" w:w="16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
            </w:r>
          </w:p>
        </w:tc>
        <w:tc>
          <w:tcPr>
            <w:tcW w:type="dxa" w:w="16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
            </w:r>
          </w:p>
        </w:tc>
        <w:tc>
          <w:tcPr>
            <w:tcW w:type="dxa" w:w="16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
            </w:r>
          </w:p>
        </w:tc>
        <w:tc>
          <w:tcPr>
            <w:tcW w:type="dxa" w:w="19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
            </w:r>
          </w:p>
        </w:tc>
      </w:tr>
    </w:tbl>
    <w:p>
      <w:pPr>
        <w:pStyle w:val="Heading1"/>
        <w:keepNext/>
        <w:spacing w:after="120" w:before="320"/>
      </w:pPr>
      <w:r>
        <w:rPr>
          <w:rFonts w:ascii="Calibri" w:cs="Calibri" w:eastAsia="Calibri" w:hAnsi="Calibri"/>
          <w:b/>
          <w:bCs/>
          <w:color w:val="0F4761"/>
          <w:sz w:val="30"/>
          <w:szCs w:val="30"/>
        </w:rPr>
        <w:t xml:space="preserve">10. VEX statement</w:t>
      </w:r>
    </w:p>
    <w:p>
      <w:pPr>
        <w:spacing w:after="120" w:line="276"/>
      </w:pPr>
      <w:r>
        <w:rPr>
          <w:rFonts w:ascii="Calibri" w:cs="Calibri" w:eastAsia="Calibri" w:hAnsi="Calibri"/>
          <w:color w:val="14121F"/>
          <w:sz w:val="21"/>
          <w:szCs w:val="21"/>
        </w:rPr>
        <w:t xml:space="preserve">One statement per product release per CVE, in the structure of the CycloneDX and CSAF VEX profiles so it can be exported without rework. Where connections on the same product carry different verdicts, the product-level status is the most severe, and the per-connection detail in sections 7 and 8 is referenced.</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3000"/>
        <w:gridCol w:w="7080"/>
      </w:tblGrid>
      <w:tr>
        <w:trPr>
          <w:tblHeader/>
        </w:trPr>
        <w:tc>
          <w:tcPr>
            <w:tcW w:type="dxa" w:w="3000"/>
            <w:tcBorders>
              <w:top w:val="single" w:color="C9C3DE" w:sz="4"/>
              <w:left w:val="single" w:color="C9C3DE" w:sz="4"/>
              <w:bottom w:val="single" w:color="C9C3DE" w:sz="4"/>
              <w:right w:val="single" w:color="C9C3DE" w:sz="4"/>
            </w:tcBorders>
            <w:shd w:fill="E8EEF4" w:color="auto" w:val="clear"/>
            <w:tcMar>
              <w:top w:type="dxa" w:w="70"/>
              <w:left w:type="dxa" w:w="100"/>
              <w:bottom w:type="dxa" w:w="70"/>
              <w:right w:type="dxa" w:w="100"/>
            </w:tcMar>
          </w:tcPr>
          <w:p>
            <w:pPr>
              <w:spacing w:after="0" w:line="260"/>
            </w:pPr>
            <w:r>
              <w:rPr>
                <w:rFonts w:ascii="Calibri" w:cs="Calibri" w:eastAsia="Calibri" w:hAnsi="Calibri"/>
                <w:b/>
                <w:bCs/>
                <w:color w:val="14121F"/>
                <w:sz w:val="19"/>
                <w:szCs w:val="19"/>
              </w:rPr>
              <w:t xml:space="preserve">Field</w:t>
            </w:r>
          </w:p>
        </w:tc>
        <w:tc>
          <w:tcPr>
            <w:tcW w:type="dxa" w:w="7080"/>
            <w:tcBorders>
              <w:top w:val="single" w:color="C9C3DE" w:sz="4"/>
              <w:left w:val="single" w:color="C9C3DE" w:sz="4"/>
              <w:bottom w:val="single" w:color="C9C3DE" w:sz="4"/>
              <w:right w:val="single" w:color="C9C3DE" w:sz="4"/>
            </w:tcBorders>
            <w:shd w:fill="E8EEF4" w:color="auto" w:val="clear"/>
            <w:tcMar>
              <w:top w:type="dxa" w:w="70"/>
              <w:left w:type="dxa" w:w="100"/>
              <w:bottom w:type="dxa" w:w="70"/>
              <w:right w:type="dxa" w:w="100"/>
            </w:tcMar>
          </w:tcPr>
          <w:p>
            <w:pPr>
              <w:spacing w:after="0" w:line="260"/>
            </w:pPr>
            <w:r>
              <w:rPr>
                <w:rFonts w:ascii="Calibri" w:cs="Calibri" w:eastAsia="Calibri" w:hAnsi="Calibri"/>
                <w:b/>
                <w:bCs/>
                <w:color w:val="14121F"/>
                <w:sz w:val="19"/>
                <w:szCs w:val="19"/>
              </w:rPr>
              <w:t xml:space="preserve">Value</w:t>
            </w:r>
          </w:p>
        </w:tc>
      </w:tr>
      <w:tr>
        <w:tc>
          <w:tcPr>
            <w:tcW w:type="dxa" w:w="30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Product</w:t>
            </w:r>
          </w:p>
        </w:tc>
        <w:tc>
          <w:tcPr>
            <w:tcW w:type="dxa" w:w="70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[Product, Release, identifier]</w:t>
            </w:r>
          </w:p>
        </w:tc>
      </w:tr>
      <w:tr>
        <w:tc>
          <w:tcPr>
            <w:tcW w:type="dxa" w:w="30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Vulnerability</w:t>
            </w:r>
          </w:p>
        </w:tc>
        <w:tc>
          <w:tcPr>
            <w:tcW w:type="dxa" w:w="70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CVE-2026-111943, CVE-2026-111944 (eMudhra weak CA keys, AAA Certificate Services cross-sign)</w:t>
            </w:r>
          </w:p>
        </w:tc>
      </w:tr>
      <w:tr>
        <w:tc>
          <w:tcPr>
            <w:tcW w:type="dxa" w:w="30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Status</w:t>
            </w:r>
          </w:p>
        </w:tc>
        <w:tc>
          <w:tcPr>
            <w:tcW w:type="dxa" w:w="70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[affected | not affected | fixed | under investigation]</w:t>
            </w:r>
          </w:p>
        </w:tc>
      </w:tr>
      <w:tr>
        <w:tc>
          <w:tcPr>
            <w:tcW w:type="dxa" w:w="30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Justification (if not affected)</w:t>
            </w:r>
          </w:p>
        </w:tc>
        <w:tc>
          <w:tcPr>
            <w:tcW w:type="dxa" w:w="70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[component not present | vulnerable code not present | vulnerable code not in execute path | vulnerable code cannot be controlled by adversary | inline mitigations already exist]</w:t>
            </w:r>
          </w:p>
        </w:tc>
      </w:tr>
      <w:tr>
        <w:tc>
          <w:tcPr>
            <w:tcW w:type="dxa" w:w="30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Impact statement</w:t>
            </w:r>
          </w:p>
        </w:tc>
        <w:tc>
          <w:tcPr>
            <w:tcW w:type="dxa" w:w="70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[Which connections, under which context, with which entry vectors; reference sections 7 and 8]</w:t>
            </w:r>
          </w:p>
        </w:tc>
      </w:tr>
      <w:tr>
        <w:tc>
          <w:tcPr>
            <w:tcW w:type="dxa" w:w="30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Action statement</w:t>
            </w:r>
          </w:p>
        </w:tc>
        <w:tc>
          <w:tcPr>
            <w:tcW w:type="dxa" w:w="70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[Remove affected roots and pin the server key in release X.Y; apply compensating controls until then; see section 11]</w:t>
            </w:r>
          </w:p>
        </w:tc>
      </w:tr>
      <w:tr>
        <w:tc>
          <w:tcPr>
            <w:tcW w:type="dxa" w:w="30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Action statement timestamp</w:t>
            </w:r>
          </w:p>
        </w:tc>
        <w:tc>
          <w:tcPr>
            <w:tcW w:type="dxa" w:w="70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[date]</w:t>
            </w:r>
          </w:p>
        </w:tc>
      </w:tr>
      <w:tr>
        <w:tc>
          <w:tcPr>
            <w:tcW w:type="dxa" w:w="30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Exploitability under context</w:t>
            </w:r>
          </w:p>
        </w:tc>
        <w:tc>
          <w:tcPr>
            <w:tcW w:type="dxa" w:w="70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[Directly exploitable on the ward network with an on-path attacker; not exploitable where the client is pinned; conditional on the update channel]</w:t>
            </w:r>
          </w:p>
        </w:tc>
      </w:tr>
      <w:tr>
        <w:tc>
          <w:tcPr>
            <w:tcW w:type="dxa" w:w="30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Evidence</w:t>
            </w:r>
          </w:p>
        </w:tc>
        <w:tc>
          <w:tcPr>
            <w:tcW w:type="dxa" w:w="70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[Test case IDs and evidence references from section 12]</w:t>
            </w:r>
          </w:p>
        </w:tc>
      </w:tr>
    </w:tbl>
    <w:p>
      <w:pPr>
        <w:pStyle w:val="Heading1"/>
        <w:keepNext/>
        <w:spacing w:after="120" w:before="320"/>
      </w:pPr>
      <w:r>
        <w:rPr>
          <w:rFonts w:ascii="Calibri" w:cs="Calibri" w:eastAsia="Calibri" w:hAnsi="Calibri"/>
          <w:b/>
          <w:bCs/>
          <w:color w:val="0F4761"/>
          <w:sz w:val="30"/>
          <w:szCs w:val="30"/>
        </w:rPr>
        <w:t xml:space="preserve">11. Remediation and fix status</w:t>
      </w:r>
    </w:p>
    <w:p>
      <w:pPr>
        <w:spacing w:after="120" w:line="276"/>
      </w:pPr>
      <w:r>
        <w:rPr>
          <w:rFonts w:ascii="Calibri" w:cs="Calibri" w:eastAsia="Calibri" w:hAnsi="Calibri"/>
          <w:color w:val="14121F"/>
          <w:sz w:val="21"/>
          <w:szCs w:val="21"/>
        </w:rPr>
        <w:t xml:space="preserve">Removing the affected roots fixes this event. Pinning the server's public key closes the class. Record what was done, what is planned, and what protects customers in the meantime.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3000"/>
        <w:gridCol w:w="7080"/>
      </w:tblGrid>
      <w:tr>
        <w:trPr>
          <w:tblHeader/>
        </w:trPr>
        <w:tc>
          <w:tcPr>
            <w:tcW w:type="dxa" w:w="3000"/>
            <w:tcBorders>
              <w:top w:val="single" w:color="C9C3DE" w:sz="4"/>
              <w:left w:val="single" w:color="C9C3DE" w:sz="4"/>
              <w:bottom w:val="single" w:color="C9C3DE" w:sz="4"/>
              <w:right w:val="single" w:color="C9C3DE" w:sz="4"/>
            </w:tcBorders>
            <w:shd w:fill="E8EEF4" w:color="auto" w:val="clear"/>
            <w:tcMar>
              <w:top w:type="dxa" w:w="70"/>
              <w:left w:type="dxa" w:w="100"/>
              <w:bottom w:type="dxa" w:w="70"/>
              <w:right w:type="dxa" w:w="100"/>
            </w:tcMar>
          </w:tcPr>
          <w:p>
            <w:pPr>
              <w:spacing w:after="0" w:line="260"/>
            </w:pPr>
            <w:r>
              <w:rPr>
                <w:rFonts w:ascii="Calibri" w:cs="Calibri" w:eastAsia="Calibri" w:hAnsi="Calibri"/>
                <w:b/>
                <w:bCs/>
                <w:color w:val="14121F"/>
                <w:sz w:val="19"/>
                <w:szCs w:val="19"/>
              </w:rPr>
              <w:t xml:space="preserve">Item</w:t>
            </w:r>
          </w:p>
        </w:tc>
        <w:tc>
          <w:tcPr>
            <w:tcW w:type="dxa" w:w="7080"/>
            <w:tcBorders>
              <w:top w:val="single" w:color="C9C3DE" w:sz="4"/>
              <w:left w:val="single" w:color="C9C3DE" w:sz="4"/>
              <w:bottom w:val="single" w:color="C9C3DE" w:sz="4"/>
              <w:right w:val="single" w:color="C9C3DE" w:sz="4"/>
            </w:tcBorders>
            <w:shd w:fill="E8EEF4" w:color="auto" w:val="clear"/>
            <w:tcMar>
              <w:top w:type="dxa" w:w="70"/>
              <w:left w:type="dxa" w:w="100"/>
              <w:bottom w:type="dxa" w:w="70"/>
              <w:right w:type="dxa" w:w="100"/>
            </w:tcMar>
          </w:tcPr>
          <w:p>
            <w:pPr>
              <w:spacing w:after="0" w:line="260"/>
            </w:pPr>
            <w:r>
              <w:rPr>
                <w:rFonts w:ascii="Calibri" w:cs="Calibri" w:eastAsia="Calibri" w:hAnsi="Calibri"/>
                <w:b/>
                <w:bCs/>
                <w:color w:val="14121F"/>
                <w:sz w:val="19"/>
                <w:szCs w:val="19"/>
              </w:rPr>
              <w:t xml:space="preserve">Detail</w:t>
            </w:r>
          </w:p>
        </w:tc>
      </w:tr>
      <w:tr>
        <w:tc>
          <w:tcPr>
            <w:tcW w:type="dxa" w:w="30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Fix</w:t>
            </w:r>
          </w:p>
        </w:tc>
        <w:tc>
          <w:tcPr>
            <w:tcW w:type="dxa" w:w="70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[Remove emSign ECC Root CA - G3, emSign Root TLS CA - G3, the eight intermediates and AAA Certificate Services (unless own servers chain to it) from every trust store on the device and the companion app; restrict each client to the one CA the servers use]</w:t>
            </w:r>
          </w:p>
        </w:tc>
      </w:tr>
      <w:tr>
        <w:tc>
          <w:tcPr>
            <w:tcW w:type="dxa" w:w="30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Class mitigation</w:t>
            </w:r>
          </w:p>
        </w:tc>
        <w:tc>
          <w:tcPr>
            <w:tcW w:type="dxa" w:w="70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[Pin the server's SPKI with a backup pin and a documented rotation procedure, on every TLS implementation; enforce revocation with hard fail where supported; mutual TLS under a private CA for device-to-cloud links]</w:t>
            </w:r>
          </w:p>
        </w:tc>
      </w:tr>
      <w:tr>
        <w:tc>
          <w:tcPr>
            <w:tcW w:type="dxa" w:w="30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Status</w:t>
            </w:r>
          </w:p>
        </w:tc>
        <w:tc>
          <w:tcPr>
            <w:tcW w:type="dxa" w:w="70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[Implemented in release X.Y on date | Scheduled for release X.Y on date, out of cycle under 524B | Will not be patched: risk acceptance reference and compensating controls below]</w:t>
            </w:r>
          </w:p>
        </w:tc>
      </w:tr>
      <w:tr>
        <w:tc>
          <w:tcPr>
            <w:tcW w:type="dxa" w:w="30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Compensating controls until the fix ships</w:t>
            </w:r>
          </w:p>
        </w:tc>
        <w:tc>
          <w:tcPr>
            <w:tcW w:type="dxa" w:w="70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[Network segmentation, customer guidance, monitoring for unexpected certificate chains, disabling the affected connection where clinically acceptable]</w:t>
            </w:r>
          </w:p>
        </w:tc>
      </w:tr>
      <w:tr>
        <w:tc>
          <w:tcPr>
            <w:tcW w:type="dxa" w:w="30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Customer communication</w:t>
            </w:r>
          </w:p>
        </w:tc>
        <w:tc>
          <w:tcPr>
            <w:tcW w:type="dxa" w:w="70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[Notification date, channel, reference]</w:t>
            </w:r>
          </w:p>
        </w:tc>
      </w:tr>
      <w:tr>
        <w:tc>
          <w:tcPr>
            <w:tcW w:type="dxa" w:w="30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Regulatory record</w:t>
            </w:r>
          </w:p>
        </w:tc>
        <w:tc>
          <w:tcPr>
            <w:tcW w:type="dxa" w:w="70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[524B plan reference; premarket submission section if applicable]</w:t>
            </w:r>
          </w:p>
        </w:tc>
      </w:tr>
    </w:tbl>
    <w:p>
      <w:pPr>
        <w:pStyle w:val="Heading1"/>
        <w:keepNext/>
        <w:spacing w:after="120" w:before="320"/>
      </w:pPr>
      <w:r>
        <w:rPr>
          <w:rFonts w:ascii="Calibri" w:cs="Calibri" w:eastAsia="Calibri" w:hAnsi="Calibri"/>
          <w:b/>
          <w:bCs/>
          <w:color w:val="0F4761"/>
          <w:sz w:val="30"/>
          <w:szCs w:val="30"/>
        </w:rPr>
        <w:t xml:space="preserve">12. Test cases</w:t>
      </w:r>
    </w:p>
    <w:p>
      <w:pPr>
        <w:spacing w:after="120" w:line="276"/>
      </w:pPr>
      <w:r>
        <w:rPr>
          <w:rFonts w:ascii="Calibri" w:cs="Calibri" w:eastAsia="Calibri" w:hAnsi="Calibri"/>
          <w:color w:val="14121F"/>
          <w:sz w:val="21"/>
          <w:szCs w:val="21"/>
        </w:rPr>
        <w:t xml:space="preserve">Two test cases per exposed connection: the one that found the exposure and the one that verifies the fix. The verification case is the discovery case run again against the updated build, on the physical product in the test lab, so the closure is evidence that the attack is no longer possible rather than a note that a package changed. Both are repeatable and referenced from the VEX statement.</w:t>
      </w:r>
    </w:p>
    <w:p>
      <w:pPr>
        <w:pStyle w:val="Heading2"/>
        <w:keepNext/>
        <w:spacing w:after="80" w:before="220"/>
      </w:pPr>
      <w:r>
        <w:rPr>
          <w:rFonts w:ascii="Calibri" w:cs="Calibri" w:eastAsia="Calibri" w:hAnsi="Calibri"/>
          <w:b/>
          <w:bCs/>
          <w:color w:val="14121F"/>
          <w:sz w:val="24"/>
          <w:szCs w:val="24"/>
        </w:rPr>
        <w:t xml:space="preserve">12.1 Discovery test case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3000"/>
        <w:gridCol w:w="7080"/>
      </w:tblGrid>
      <w:tr>
        <w:trPr>
          <w:tblHeader/>
        </w:trPr>
        <w:tc>
          <w:tcPr>
            <w:tcW w:type="dxa" w:w="3000"/>
            <w:tcBorders>
              <w:top w:val="single" w:color="C9C3DE" w:sz="4"/>
              <w:left w:val="single" w:color="C9C3DE" w:sz="4"/>
              <w:bottom w:val="single" w:color="C9C3DE" w:sz="4"/>
              <w:right w:val="single" w:color="C9C3DE" w:sz="4"/>
            </w:tcBorders>
            <w:shd w:fill="E8EEF4" w:color="auto" w:val="clear"/>
            <w:tcMar>
              <w:top w:type="dxa" w:w="70"/>
              <w:left w:type="dxa" w:w="100"/>
              <w:bottom w:type="dxa" w:w="70"/>
              <w:right w:type="dxa" w:w="100"/>
            </w:tcMar>
          </w:tcPr>
          <w:p>
            <w:pPr>
              <w:spacing w:after="0" w:line="260"/>
            </w:pPr>
            <w:r>
              <w:rPr>
                <w:rFonts w:ascii="Calibri" w:cs="Calibri" w:eastAsia="Calibri" w:hAnsi="Calibri"/>
                <w:b/>
                <w:bCs/>
                <w:color w:val="14121F"/>
                <w:sz w:val="19"/>
                <w:szCs w:val="19"/>
              </w:rPr>
              <w:t xml:space="preserve">Field</w:t>
            </w:r>
          </w:p>
        </w:tc>
        <w:tc>
          <w:tcPr>
            <w:tcW w:type="dxa" w:w="7080"/>
            <w:tcBorders>
              <w:top w:val="single" w:color="C9C3DE" w:sz="4"/>
              <w:left w:val="single" w:color="C9C3DE" w:sz="4"/>
              <w:bottom w:val="single" w:color="C9C3DE" w:sz="4"/>
              <w:right w:val="single" w:color="C9C3DE" w:sz="4"/>
            </w:tcBorders>
            <w:shd w:fill="E8EEF4" w:color="auto" w:val="clear"/>
            <w:tcMar>
              <w:top w:type="dxa" w:w="70"/>
              <w:left w:type="dxa" w:w="100"/>
              <w:bottom w:type="dxa" w:w="70"/>
              <w:right w:type="dxa" w:w="100"/>
            </w:tcMar>
          </w:tcPr>
          <w:p>
            <w:pPr>
              <w:spacing w:after="0" w:line="260"/>
            </w:pPr>
            <w:r>
              <w:rPr>
                <w:rFonts w:ascii="Calibri" w:cs="Calibri" w:eastAsia="Calibri" w:hAnsi="Calibri"/>
                <w:b/>
                <w:bCs/>
                <w:color w:val="14121F"/>
                <w:sz w:val="19"/>
                <w:szCs w:val="19"/>
              </w:rPr>
              <w:t xml:space="preserve">Value</w:t>
            </w:r>
          </w:p>
        </w:tc>
      </w:tr>
      <w:tr>
        <w:tc>
          <w:tcPr>
            <w:tcW w:type="dxa" w:w="30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Test case ID</w:t>
            </w:r>
          </w:p>
        </w:tc>
        <w:tc>
          <w:tcPr>
            <w:tcW w:type="dxa" w:w="70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i/>
                <w:iCs/>
                <w:color w:val="595959"/>
                <w:sz w:val="19"/>
                <w:szCs w:val="19"/>
              </w:rPr>
              <w:t xml:space="preserve">e.g. TC-EM-01-D2</w:t>
            </w:r>
          </w:p>
        </w:tc>
      </w:tr>
      <w:tr>
        <w:tc>
          <w:tcPr>
            <w:tcW w:type="dxa" w:w="30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Objective</w:t>
            </w:r>
          </w:p>
        </w:tc>
        <w:tc>
          <w:tcPr>
            <w:tcW w:type="dxa" w:w="70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Determine whether the client on [connection] accepts a forged chain through an eMudhra cross-signed intermediate for the product's real hostname.</w:t>
            </w:r>
          </w:p>
        </w:tc>
      </w:tr>
      <w:tr>
        <w:tc>
          <w:tcPr>
            <w:tcW w:type="dxa" w:w="30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Setup</w:t>
            </w:r>
          </w:p>
        </w:tc>
        <w:tc>
          <w:tcPr>
            <w:tcW w:type="dxa" w:w="70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[Product on the shipped build; test position on the network path between the client and its server; forged leaf for the real hostname signed with the recovered intermediate key; chain presented as leaf, cross-signed intermediate, AAA root]</w:t>
            </w:r>
          </w:p>
        </w:tc>
      </w:tr>
      <w:tr>
        <w:tc>
          <w:tcPr>
            <w:tcW w:type="dxa" w:w="30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Steps</w:t>
            </w:r>
          </w:p>
        </w:tc>
        <w:tc>
          <w:tcPr>
            <w:tcW w:type="dxa" w:w="70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1. Place the test position on the path. 2. Trigger the client's connection (telemetry interval, update check, portal login). 3. Present the forged chain. 4. Capture the handshake and the application data. 5. Repeat with the revocation responder unreachable to record the soft-fail behaviour. 6. Repeat against each other implementation on the product that claims a pin.</w:t>
            </w:r>
          </w:p>
        </w:tc>
      </w:tr>
      <w:tr>
        <w:tc>
          <w:tcPr>
            <w:tcW w:type="dxa" w:w="30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Pass criterion (not exposed)</w:t>
            </w:r>
          </w:p>
        </w:tc>
        <w:tc>
          <w:tcPr>
            <w:tcW w:type="dxa" w:w="70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Client refuses the chain on every implementation, with the refusal reason captured.</w:t>
            </w:r>
          </w:p>
        </w:tc>
      </w:tr>
      <w:tr>
        <w:tc>
          <w:tcPr>
            <w:tcW w:type="dxa" w:w="30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Fail criterion (exposed)</w:t>
            </w:r>
          </w:p>
        </w:tc>
        <w:tc>
          <w:tcPr>
            <w:tcW w:type="dxa" w:w="70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Client completes the handshake and sends application data to the test position.</w:t>
            </w:r>
          </w:p>
        </w:tc>
      </w:tr>
      <w:tr>
        <w:tc>
          <w:tcPr>
            <w:tcW w:type="dxa" w:w="30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Result and evidence</w:t>
            </w:r>
          </w:p>
        </w:tc>
        <w:tc>
          <w:tcPr>
            <w:tcW w:type="dxa" w:w="70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[Pass | Fail; capture reference; trust store contents; revocation and pin behaviour observed; date; the manufacturer test record reference]</w:t>
            </w:r>
          </w:p>
        </w:tc>
      </w:tr>
      <w:tr>
        <w:tc>
          <w:tcPr>
            <w:tcW w:type="dxa" w:w="30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Executed by</w:t>
            </w:r>
          </w:p>
        </w:tc>
        <w:tc>
          <w:tcPr>
            <w:tcW w:type="dxa" w:w="70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[Harness, operator]</w:t>
            </w:r>
          </w:p>
        </w:tc>
      </w:tr>
    </w:tbl>
    <w:p>
      <w:pPr>
        <w:spacing w:after="60" w:line="276"/>
      </w:pPr>
      <w:r>
        <w:rPr>
          <w:rFonts w:ascii="Calibri" w:cs="Calibri" w:eastAsia="Calibri" w:hAnsi="Calibri"/>
          <w:color w:val="14121F"/>
          <w:sz w:val="21"/>
          <w:szCs w:val="21"/>
        </w:rPr>
        <w:t xml:space="preserve"/>
      </w:r>
    </w:p>
    <w:p>
      <w:pPr>
        <w:pStyle w:val="Heading2"/>
        <w:keepNext/>
        <w:spacing w:after="80" w:before="220"/>
      </w:pPr>
      <w:r>
        <w:rPr>
          <w:rFonts w:ascii="Calibri" w:cs="Calibri" w:eastAsia="Calibri" w:hAnsi="Calibri"/>
          <w:b/>
          <w:bCs/>
          <w:color w:val="14121F"/>
          <w:sz w:val="24"/>
          <w:szCs w:val="24"/>
        </w:rPr>
        <w:t xml:space="preserve">12.2 Verification test case (after the fix)</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3000"/>
        <w:gridCol w:w="7080"/>
      </w:tblGrid>
      <w:tr>
        <w:trPr>
          <w:tblHeader/>
        </w:trPr>
        <w:tc>
          <w:tcPr>
            <w:tcW w:type="dxa" w:w="3000"/>
            <w:tcBorders>
              <w:top w:val="single" w:color="C9C3DE" w:sz="4"/>
              <w:left w:val="single" w:color="C9C3DE" w:sz="4"/>
              <w:bottom w:val="single" w:color="C9C3DE" w:sz="4"/>
              <w:right w:val="single" w:color="C9C3DE" w:sz="4"/>
            </w:tcBorders>
            <w:shd w:fill="E8EEF4" w:color="auto" w:val="clear"/>
            <w:tcMar>
              <w:top w:type="dxa" w:w="70"/>
              <w:left w:type="dxa" w:w="100"/>
              <w:bottom w:type="dxa" w:w="70"/>
              <w:right w:type="dxa" w:w="100"/>
            </w:tcMar>
          </w:tcPr>
          <w:p>
            <w:pPr>
              <w:spacing w:after="0" w:line="260"/>
            </w:pPr>
            <w:r>
              <w:rPr>
                <w:rFonts w:ascii="Calibri" w:cs="Calibri" w:eastAsia="Calibri" w:hAnsi="Calibri"/>
                <w:b/>
                <w:bCs/>
                <w:color w:val="14121F"/>
                <w:sz w:val="19"/>
                <w:szCs w:val="19"/>
              </w:rPr>
              <w:t xml:space="preserve">Field</w:t>
            </w:r>
          </w:p>
        </w:tc>
        <w:tc>
          <w:tcPr>
            <w:tcW w:type="dxa" w:w="7080"/>
            <w:tcBorders>
              <w:top w:val="single" w:color="C9C3DE" w:sz="4"/>
              <w:left w:val="single" w:color="C9C3DE" w:sz="4"/>
              <w:bottom w:val="single" w:color="C9C3DE" w:sz="4"/>
              <w:right w:val="single" w:color="C9C3DE" w:sz="4"/>
            </w:tcBorders>
            <w:shd w:fill="E8EEF4" w:color="auto" w:val="clear"/>
            <w:tcMar>
              <w:top w:type="dxa" w:w="70"/>
              <w:left w:type="dxa" w:w="100"/>
              <w:bottom w:type="dxa" w:w="70"/>
              <w:right w:type="dxa" w:w="100"/>
            </w:tcMar>
          </w:tcPr>
          <w:p>
            <w:pPr>
              <w:spacing w:after="0" w:line="260"/>
            </w:pPr>
            <w:r>
              <w:rPr>
                <w:rFonts w:ascii="Calibri" w:cs="Calibri" w:eastAsia="Calibri" w:hAnsi="Calibri"/>
                <w:b/>
                <w:bCs/>
                <w:color w:val="14121F"/>
                <w:sz w:val="19"/>
                <w:szCs w:val="19"/>
              </w:rPr>
              <w:t xml:space="preserve">Value</w:t>
            </w:r>
          </w:p>
        </w:tc>
      </w:tr>
      <w:tr>
        <w:tc>
          <w:tcPr>
            <w:tcW w:type="dxa" w:w="30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Test case ID</w:t>
            </w:r>
          </w:p>
        </w:tc>
        <w:tc>
          <w:tcPr>
            <w:tcW w:type="dxa" w:w="70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i/>
                <w:iCs/>
                <w:color w:val="595959"/>
                <w:sz w:val="19"/>
                <w:szCs w:val="19"/>
              </w:rPr>
              <w:t xml:space="preserve">e.g. TC-EM-01-D2-V</w:t>
            </w:r>
          </w:p>
        </w:tc>
      </w:tr>
      <w:tr>
        <w:tc>
          <w:tcPr>
            <w:tcW w:type="dxa" w:w="30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Objective</w:t>
            </w:r>
          </w:p>
        </w:tc>
        <w:tc>
          <w:tcPr>
            <w:tcW w:type="dxa" w:w="70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Verify on the updated build that the forged chain is refused and that the control (trust store change, pin, hard-fail revocation) is enforced on every implementation.</w:t>
            </w:r>
          </w:p>
        </w:tc>
      </w:tr>
      <w:tr>
        <w:tc>
          <w:tcPr>
            <w:tcW w:type="dxa" w:w="30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Setup</w:t>
            </w:r>
          </w:p>
        </w:tc>
        <w:tc>
          <w:tcPr>
            <w:tcW w:type="dxa" w:w="70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[Updated build installed on the physical product; same test position and forged chain as the discovery case; plus a valid chain from the manufacturer's real CA to confirm the pin accepts the legitimate server]</w:t>
            </w:r>
          </w:p>
        </w:tc>
      </w:tr>
      <w:tr>
        <w:tc>
          <w:tcPr>
            <w:tcW w:type="dxa" w:w="30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Steps</w:t>
            </w:r>
          </w:p>
        </w:tc>
        <w:tc>
          <w:tcPr>
            <w:tcW w:type="dxa" w:w="70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1. Run the discovery case unchanged. 2. Present a chain from a different public CA to confirm the client no longer trusts the public bundle. 3. Present the legitimate server chain to confirm service continues. 4. Rotate to the backup pin and confirm the rotation procedure works. 5. Block the revocation responder and confirm hard fail where configured.</w:t>
            </w:r>
          </w:p>
        </w:tc>
      </w:tr>
      <w:tr>
        <w:tc>
          <w:tcPr>
            <w:tcW w:type="dxa" w:w="30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Pass criterion</w:t>
            </w:r>
          </w:p>
        </w:tc>
        <w:tc>
          <w:tcPr>
            <w:tcW w:type="dxa" w:w="70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Forged and foreign chains refused on every implementation; legitimate chain accepted; rotation works; evidence captured.</w:t>
            </w:r>
          </w:p>
        </w:tc>
      </w:tr>
      <w:tr>
        <w:tc>
          <w:tcPr>
            <w:tcW w:type="dxa" w:w="30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Result and evidence</w:t>
            </w:r>
          </w:p>
        </w:tc>
        <w:tc>
          <w:tcPr>
            <w:tcW w:type="dxa" w:w="70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[Pass | Fail; capture references; build identifier; date; verdict updated to Mitigated weakness in the finding record]</w:t>
            </w:r>
          </w:p>
        </w:tc>
      </w:tr>
      <w:tr>
        <w:tc>
          <w:tcPr>
            <w:tcW w:type="dxa" w:w="30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Executed by</w:t>
            </w:r>
          </w:p>
        </w:tc>
        <w:tc>
          <w:tcPr>
            <w:tcW w:type="dxa" w:w="70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[Harness, operator]</w:t>
            </w:r>
          </w:p>
        </w:tc>
      </w:tr>
    </w:tbl>
    <w:p>
      <w:pPr>
        <w:pStyle w:val="Heading1"/>
        <w:keepNext/>
        <w:spacing w:after="120" w:before="320"/>
      </w:pPr>
      <w:r>
        <w:rPr>
          <w:rFonts w:ascii="Calibri" w:cs="Calibri" w:eastAsia="Calibri" w:hAnsi="Calibri"/>
          <w:b/>
          <w:bCs/>
          <w:color w:val="0F4761"/>
          <w:sz w:val="30"/>
          <w:szCs w:val="30"/>
        </w:rPr>
        <w:t xml:space="preserve">13. Summary and approval</w:t>
      </w:r>
    </w:p>
    <w:p>
      <w:pPr>
        <w:spacing w:after="120" w:line="276"/>
      </w:pPr>
      <w:r>
        <w:rPr>
          <w:rFonts w:ascii="Calibri" w:cs="Calibri" w:eastAsia="Calibri" w:hAnsi="Calibri"/>
          <w:color w:val="14121F"/>
          <w:sz w:val="21"/>
          <w:szCs w:val="21"/>
        </w:rPr>
        <w:t xml:space="preserve">[One paragraph: how many connections were assessed, how many were directly exploitable, conditionally exploitable, unexploitable weaknesses or not affected; what the fix is and when it ships or shipped; which test cases evidence the discovery and the verification; where the VEX statement was published.]</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800"/>
        <w:gridCol w:w="2800"/>
        <w:gridCol w:w="2800"/>
        <w:gridCol w:w="1680"/>
      </w:tblGrid>
      <w:tr>
        <w:trPr>
          <w:tblHeader/>
        </w:trPr>
        <w:tc>
          <w:tcPr>
            <w:tcW w:type="dxa" w:w="2800"/>
            <w:tcBorders>
              <w:top w:val="single" w:color="C9C3DE" w:sz="4"/>
              <w:left w:val="single" w:color="C9C3DE" w:sz="4"/>
              <w:bottom w:val="single" w:color="C9C3DE" w:sz="4"/>
              <w:right w:val="single" w:color="C9C3DE" w:sz="4"/>
            </w:tcBorders>
            <w:shd w:fill="E8EEF4" w:color="auto" w:val="clear"/>
            <w:tcMar>
              <w:top w:type="dxa" w:w="70"/>
              <w:left w:type="dxa" w:w="100"/>
              <w:bottom w:type="dxa" w:w="70"/>
              <w:right w:type="dxa" w:w="100"/>
            </w:tcMar>
          </w:tcPr>
          <w:p>
            <w:pPr>
              <w:spacing w:after="0" w:line="260"/>
            </w:pPr>
            <w:r>
              <w:rPr>
                <w:rFonts w:ascii="Calibri" w:cs="Calibri" w:eastAsia="Calibri" w:hAnsi="Calibri"/>
                <w:b/>
                <w:bCs/>
                <w:color w:val="14121F"/>
                <w:sz w:val="19"/>
                <w:szCs w:val="19"/>
              </w:rPr>
              <w:t xml:space="preserve">Role</w:t>
            </w:r>
          </w:p>
        </w:tc>
        <w:tc>
          <w:tcPr>
            <w:tcW w:type="dxa" w:w="2800"/>
            <w:tcBorders>
              <w:top w:val="single" w:color="C9C3DE" w:sz="4"/>
              <w:left w:val="single" w:color="C9C3DE" w:sz="4"/>
              <w:bottom w:val="single" w:color="C9C3DE" w:sz="4"/>
              <w:right w:val="single" w:color="C9C3DE" w:sz="4"/>
            </w:tcBorders>
            <w:shd w:fill="E8EEF4" w:color="auto" w:val="clear"/>
            <w:tcMar>
              <w:top w:type="dxa" w:w="70"/>
              <w:left w:type="dxa" w:w="100"/>
              <w:bottom w:type="dxa" w:w="70"/>
              <w:right w:type="dxa" w:w="100"/>
            </w:tcMar>
          </w:tcPr>
          <w:p>
            <w:pPr>
              <w:spacing w:after="0" w:line="260"/>
            </w:pPr>
            <w:r>
              <w:rPr>
                <w:rFonts w:ascii="Calibri" w:cs="Calibri" w:eastAsia="Calibri" w:hAnsi="Calibri"/>
                <w:b/>
                <w:bCs/>
                <w:color w:val="14121F"/>
                <w:sz w:val="19"/>
                <w:szCs w:val="19"/>
              </w:rPr>
              <w:t xml:space="preserve">Name</w:t>
            </w:r>
          </w:p>
        </w:tc>
        <w:tc>
          <w:tcPr>
            <w:tcW w:type="dxa" w:w="2800"/>
            <w:tcBorders>
              <w:top w:val="single" w:color="C9C3DE" w:sz="4"/>
              <w:left w:val="single" w:color="C9C3DE" w:sz="4"/>
              <w:bottom w:val="single" w:color="C9C3DE" w:sz="4"/>
              <w:right w:val="single" w:color="C9C3DE" w:sz="4"/>
            </w:tcBorders>
            <w:shd w:fill="E8EEF4" w:color="auto" w:val="clear"/>
            <w:tcMar>
              <w:top w:type="dxa" w:w="70"/>
              <w:left w:type="dxa" w:w="100"/>
              <w:bottom w:type="dxa" w:w="70"/>
              <w:right w:type="dxa" w:w="100"/>
            </w:tcMar>
          </w:tcPr>
          <w:p>
            <w:pPr>
              <w:spacing w:after="0" w:line="260"/>
            </w:pPr>
            <w:r>
              <w:rPr>
                <w:rFonts w:ascii="Calibri" w:cs="Calibri" w:eastAsia="Calibri" w:hAnsi="Calibri"/>
                <w:b/>
                <w:bCs/>
                <w:color w:val="14121F"/>
                <w:sz w:val="19"/>
                <w:szCs w:val="19"/>
              </w:rPr>
              <w:t xml:space="preserve">Signature</w:t>
            </w:r>
          </w:p>
        </w:tc>
        <w:tc>
          <w:tcPr>
            <w:tcW w:type="dxa" w:w="1680"/>
            <w:tcBorders>
              <w:top w:val="single" w:color="C9C3DE" w:sz="4"/>
              <w:left w:val="single" w:color="C9C3DE" w:sz="4"/>
              <w:bottom w:val="single" w:color="C9C3DE" w:sz="4"/>
              <w:right w:val="single" w:color="C9C3DE" w:sz="4"/>
            </w:tcBorders>
            <w:shd w:fill="E8EEF4" w:color="auto" w:val="clear"/>
            <w:tcMar>
              <w:top w:type="dxa" w:w="70"/>
              <w:left w:type="dxa" w:w="100"/>
              <w:bottom w:type="dxa" w:w="70"/>
              <w:right w:type="dxa" w:w="100"/>
            </w:tcMar>
          </w:tcPr>
          <w:p>
            <w:pPr>
              <w:spacing w:after="0" w:line="260"/>
            </w:pPr>
            <w:r>
              <w:rPr>
                <w:rFonts w:ascii="Calibri" w:cs="Calibri" w:eastAsia="Calibri" w:hAnsi="Calibri"/>
                <w:b/>
                <w:bCs/>
                <w:color w:val="14121F"/>
                <w:sz w:val="19"/>
                <w:szCs w:val="19"/>
              </w:rPr>
              <w:t xml:space="preserve">Date</w:t>
            </w:r>
          </w:p>
        </w:tc>
      </w:tr>
      <w:tr>
        <w:tc>
          <w:tcPr>
            <w:tcW w:type="dxa" w:w="28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Product security lead</w:t>
            </w:r>
          </w:p>
        </w:tc>
        <w:tc>
          <w:tcPr>
            <w:tcW w:type="dxa" w:w="28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
            </w:r>
          </w:p>
        </w:tc>
        <w:tc>
          <w:tcPr>
            <w:tcW w:type="dxa" w:w="28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
            </w:r>
          </w:p>
        </w:tc>
        <w:tc>
          <w:tcPr>
            <w:tcW w:type="dxa" w:w="16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
            </w:r>
          </w:p>
        </w:tc>
      </w:tr>
      <w:tr>
        <w:tc>
          <w:tcPr>
            <w:tcW w:type="dxa" w:w="28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Quality / regulatory</w:t>
            </w:r>
          </w:p>
        </w:tc>
        <w:tc>
          <w:tcPr>
            <w:tcW w:type="dxa" w:w="28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
            </w:r>
          </w:p>
        </w:tc>
        <w:tc>
          <w:tcPr>
            <w:tcW w:type="dxa" w:w="28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
            </w:r>
          </w:p>
        </w:tc>
        <w:tc>
          <w:tcPr>
            <w:tcW w:type="dxa" w:w="16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
            </w:r>
          </w:p>
        </w:tc>
      </w:tr>
      <w:tr>
        <w:tc>
          <w:tcPr>
            <w:tcW w:type="dxa" w:w="28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Engineering owner</w:t>
            </w:r>
          </w:p>
        </w:tc>
        <w:tc>
          <w:tcPr>
            <w:tcW w:type="dxa" w:w="28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
            </w:r>
          </w:p>
        </w:tc>
        <w:tc>
          <w:tcPr>
            <w:tcW w:type="dxa" w:w="28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
            </w:r>
          </w:p>
        </w:tc>
        <w:tc>
          <w:tcPr>
            <w:tcW w:type="dxa" w:w="16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
            </w:r>
          </w:p>
        </w:tc>
      </w:tr>
    </w:tbl>
    <w:sectPr>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080"/>
      </w:tabs>
    </w:pPr>
    <w:r>
      <w:rPr>
        <w:rFonts w:ascii="Calibri" w:cs="Calibri" w:eastAsia="Calibri" w:hAnsi="Calibri"/>
        <w:color w:val="595959"/>
        <w:sz w:val="16"/>
        <w:szCs w:val="16"/>
      </w:rPr>
      <w:t xml:space="preserve">Vulnerability Disclosure Statement template</w:t>
    </w:r>
    <w:r>
      <w:rPr>
        <w:rFonts w:ascii="Calibri" w:cs="Calibri" w:eastAsia="Calibri" w:hAnsi="Calibri"/>
        <w:color w:val="595959"/>
        <w:sz w:val="16"/>
        <w:szCs w:val="16"/>
      </w:rPr>
      <w:t xml:space="preserve">	Page </w:t>
    </w:r>
    <w:r>
      <w:rPr>
        <w:rFonts w:ascii="Calibri" w:cs="Calibri" w:eastAsia="Calibri" w:hAnsi="Calibri"/>
        <w:color w:val="595959"/>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121F"/>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Vulnerability Disclosure Statement: eMudhra weak CA keys</dc:title>
  <dc:creator>Template</dc:creator>
  <cp:lastModifiedBy>Un-named</cp:lastModifiedBy>
  <cp:revision>1</cp:revision>
  <dcterms:created xsi:type="dcterms:W3CDTF">2026-10-27T17:00:45.168Z</dcterms:created>
  <dcterms:modified xsi:type="dcterms:W3CDTF">2026-10-27T17:00:45.168Z</dcterms:modified>
</cp:coreProperties>
</file>

<file path=docProps/custom.xml><?xml version="1.0" encoding="utf-8"?>
<Properties xmlns="http://schemas.openxmlformats.org/officeDocument/2006/custom-properties" xmlns:vt="http://schemas.openxmlformats.org/officeDocument/2006/docPropsVTypes"/>
</file>